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D184" w14:textId="77777777" w:rsidR="00667967" w:rsidRDefault="00667967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D110DDE" w14:textId="77777777" w:rsidR="00C15F25" w:rsidRPr="00C175E0" w:rsidRDefault="00C15F25" w:rsidP="00C15F25">
      <w:pPr>
        <w:rPr>
          <w:rFonts w:ascii="Book Antiqua" w:hAnsi="Book Antiqua"/>
          <w:b/>
          <w:sz w:val="28"/>
          <w:szCs w:val="28"/>
          <w:u w:val="single"/>
        </w:rPr>
      </w:pPr>
      <w:r w:rsidRPr="00C175E0">
        <w:rPr>
          <w:rFonts w:ascii="Book Antiqua" w:hAnsi="Book Antiqua"/>
          <w:b/>
          <w:sz w:val="32"/>
          <w:szCs w:val="32"/>
          <w:u w:val="single"/>
        </w:rPr>
        <w:t xml:space="preserve">Formular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për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SYLLABUS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të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Lëndës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14:paraId="2F35D185" w14:textId="796F3FDD" w:rsidR="00667967" w:rsidRDefault="00667967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103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930"/>
      </w:tblGrid>
      <w:tr w:rsidR="00667967" w:rsidRPr="00467134" w14:paraId="2F35D187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35D186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dhëna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bazike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lëndës</w:t>
            </w:r>
            <w:proofErr w:type="spellEnd"/>
          </w:p>
        </w:tc>
      </w:tr>
      <w:tr w:rsidR="00F43080" w:rsidRPr="001259B3" w14:paraId="2F35D18A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8" w14:textId="10B19782" w:rsidR="00F43080" w:rsidRPr="00467134" w:rsidRDefault="00F43080" w:rsidP="00F43080">
            <w:pPr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467134">
              <w:rPr>
                <w:b/>
                <w:szCs w:val="28"/>
              </w:rPr>
              <w:t>Njësia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akademike</w:t>
            </w:r>
            <w:proofErr w:type="spellEnd"/>
            <w:r w:rsidRPr="00467134">
              <w:rPr>
                <w:b/>
                <w:szCs w:val="28"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9" w14:textId="1237B5A9" w:rsidR="00F43080" w:rsidRPr="00467134" w:rsidRDefault="00467134" w:rsidP="00F43080">
            <w:pPr>
              <w:rPr>
                <w:rFonts w:eastAsia="Arial"/>
                <w:b/>
                <w:sz w:val="28"/>
                <w:szCs w:val="28"/>
                <w:lang w:val="it-IT"/>
              </w:rPr>
            </w:pPr>
            <w:proofErr w:type="spellStart"/>
            <w:r w:rsidRPr="00467134">
              <w:rPr>
                <w:b/>
                <w:szCs w:val="28"/>
                <w:lang w:val="it-IT"/>
              </w:rPr>
              <w:t>Universiteti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i </w:t>
            </w:r>
            <w:proofErr w:type="spellStart"/>
            <w:r w:rsidRPr="00467134">
              <w:rPr>
                <w:b/>
                <w:szCs w:val="28"/>
                <w:lang w:val="it-IT"/>
              </w:rPr>
              <w:t>Prishtinës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-</w:t>
            </w:r>
            <w:proofErr w:type="spellStart"/>
            <w:r w:rsidR="00F43080" w:rsidRPr="00467134">
              <w:rPr>
                <w:b/>
                <w:szCs w:val="28"/>
                <w:lang w:val="it-IT"/>
              </w:rPr>
              <w:t>Fakulteti</w:t>
            </w:r>
            <w:proofErr w:type="spellEnd"/>
            <w:r w:rsidR="00F43080"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="00F43080" w:rsidRPr="00467134">
              <w:rPr>
                <w:b/>
                <w:szCs w:val="28"/>
                <w:lang w:val="it-IT"/>
              </w:rPr>
              <w:t>Ekonomik</w:t>
            </w:r>
            <w:proofErr w:type="spellEnd"/>
          </w:p>
        </w:tc>
      </w:tr>
      <w:tr w:rsidR="00F43080" w:rsidRPr="00467134" w14:paraId="2F35D18D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B" w14:textId="0633F57C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Titulli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C" w14:textId="550AF309" w:rsidR="00F43080" w:rsidRPr="00467134" w:rsidRDefault="00467134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Marketingu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shërbimeve</w:t>
            </w:r>
            <w:proofErr w:type="spellEnd"/>
          </w:p>
        </w:tc>
      </w:tr>
      <w:tr w:rsidR="00F43080" w:rsidRPr="00467134" w14:paraId="2F35D190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E" w14:textId="5693517C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Niveli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F" w14:textId="4B9EE28D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BA</w:t>
            </w:r>
          </w:p>
        </w:tc>
      </w:tr>
      <w:tr w:rsidR="00F43080" w:rsidRPr="00467134" w14:paraId="2F35D193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1" w14:textId="4B5CE2D4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Statusi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2" w14:textId="79F714B0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Obligative</w:t>
            </w:r>
          </w:p>
        </w:tc>
      </w:tr>
      <w:tr w:rsidR="00F43080" w:rsidRPr="00467134" w14:paraId="2F35D196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4" w14:textId="69404C60" w:rsidR="00F43080" w:rsidRPr="00467134" w:rsidRDefault="00F43080" w:rsidP="00F43080">
            <w:pPr>
              <w:rPr>
                <w:rFonts w:eastAsia="Arial"/>
                <w:b/>
                <w:lang w:val="it-IT"/>
              </w:rPr>
            </w:pPr>
            <w:r w:rsidRPr="00467134">
              <w:rPr>
                <w:b/>
                <w:szCs w:val="28"/>
              </w:rPr>
              <w:t xml:space="preserve">Viti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studimeve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5" w14:textId="513037C3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2021/2022</w:t>
            </w:r>
          </w:p>
        </w:tc>
      </w:tr>
      <w:tr w:rsidR="00F43080" w:rsidRPr="00467134" w14:paraId="2F35D199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7" w14:textId="17190ED4" w:rsidR="00F43080" w:rsidRPr="00467134" w:rsidRDefault="00F43080" w:rsidP="00F43080">
            <w:p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b/>
                <w:szCs w:val="28"/>
                <w:lang w:val="it-IT"/>
              </w:rPr>
              <w:t>Numri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i </w:t>
            </w:r>
            <w:proofErr w:type="spellStart"/>
            <w:r w:rsidRPr="00467134">
              <w:rPr>
                <w:b/>
                <w:szCs w:val="28"/>
                <w:lang w:val="it-IT"/>
              </w:rPr>
              <w:t>orëve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Pr="00467134">
              <w:rPr>
                <w:b/>
                <w:szCs w:val="28"/>
                <w:lang w:val="it-IT"/>
              </w:rPr>
              <w:t>në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Pr="00467134">
              <w:rPr>
                <w:b/>
                <w:szCs w:val="28"/>
                <w:lang w:val="it-IT"/>
              </w:rPr>
              <w:t>javë</w:t>
            </w:r>
            <w:proofErr w:type="spellEnd"/>
            <w:r w:rsidRPr="00467134">
              <w:rPr>
                <w:b/>
                <w:szCs w:val="28"/>
                <w:lang w:val="it-IT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8" w14:textId="28726570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2</w:t>
            </w:r>
          </w:p>
        </w:tc>
      </w:tr>
      <w:tr w:rsidR="00F43080" w:rsidRPr="00467134" w14:paraId="2F35D19C" w14:textId="77777777" w:rsidTr="004647F9">
        <w:trPr>
          <w:trHeight w:val="4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A" w14:textId="6A5C2A58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Vlera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në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kredi</w:t>
            </w:r>
            <w:proofErr w:type="spellEnd"/>
            <w:r w:rsidRPr="00467134">
              <w:rPr>
                <w:b/>
                <w:szCs w:val="28"/>
              </w:rPr>
              <w:t xml:space="preserve"> – ECTS: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B" w14:textId="38DC81C1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6</w:t>
            </w:r>
          </w:p>
        </w:tc>
      </w:tr>
      <w:tr w:rsidR="00F43080" w:rsidRPr="00467134" w14:paraId="2F35D19F" w14:textId="77777777" w:rsidTr="004647F9">
        <w:trPr>
          <w:trHeight w:val="3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D" w14:textId="5A3F903A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 xml:space="preserve">Koha / </w:t>
            </w:r>
            <w:proofErr w:type="spellStart"/>
            <w:r w:rsidRPr="00467134">
              <w:rPr>
                <w:b/>
                <w:szCs w:val="28"/>
              </w:rPr>
              <w:t>lokacioni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E" w14:textId="741106B6" w:rsidR="00F43080" w:rsidRPr="00467134" w:rsidRDefault="00F43080" w:rsidP="00F43080">
            <w:pPr>
              <w:rPr>
                <w:rFonts w:eastAsia="Arial"/>
                <w:b/>
              </w:rPr>
            </w:pPr>
          </w:p>
        </w:tc>
      </w:tr>
      <w:tr w:rsidR="00F43080" w:rsidRPr="00467134" w14:paraId="2F35D1A2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0" w14:textId="5E13C14D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Mësimëdhënësi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1" w14:textId="078AD144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 xml:space="preserve">Prof. dr. </w:t>
            </w:r>
            <w:proofErr w:type="spellStart"/>
            <w:r w:rsidRPr="00467134">
              <w:rPr>
                <w:b/>
                <w:szCs w:val="28"/>
              </w:rPr>
              <w:t>asoc</w:t>
            </w:r>
            <w:proofErr w:type="spellEnd"/>
            <w:r w:rsidRPr="00467134">
              <w:rPr>
                <w:b/>
                <w:szCs w:val="28"/>
              </w:rPr>
              <w:t>. Besim Beqaj</w:t>
            </w:r>
          </w:p>
        </w:tc>
      </w:tr>
      <w:tr w:rsidR="00667967" w:rsidRPr="00467134" w14:paraId="2F35D1AA" w14:textId="77777777" w:rsidTr="004647F9">
        <w:trPr>
          <w:trHeight w:val="51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5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Përshkrimi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lëndës</w:t>
            </w:r>
            <w:proofErr w:type="spellEnd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6" w14:textId="1F7A6039" w:rsidR="00667967" w:rsidRPr="00467134" w:rsidRDefault="004647F9">
            <w:p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Zhvillimi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shekullin</w:t>
            </w:r>
            <w:proofErr w:type="spellEnd"/>
            <w:r w:rsidRPr="00467134">
              <w:rPr>
                <w:rFonts w:eastAsia="Arial"/>
              </w:rPr>
              <w:t xml:space="preserve"> 21 </w:t>
            </w:r>
            <w:proofErr w:type="spellStart"/>
            <w:r w:rsidRPr="00467134">
              <w:rPr>
                <w:rFonts w:eastAsia="Arial"/>
              </w:rPr>
              <w:t>është</w:t>
            </w:r>
            <w:proofErr w:type="spellEnd"/>
            <w:r w:rsidRPr="00467134">
              <w:rPr>
                <w:rFonts w:eastAsia="Arial"/>
              </w:rPr>
              <w:t xml:space="preserve"> duke </w:t>
            </w:r>
            <w:proofErr w:type="spellStart"/>
            <w:r w:rsidR="002D207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ndërruar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kahjet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një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dinamikë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shpejtë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Tregjet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janë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mbushura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produkte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cilat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diferencohen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nga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niveli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nga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niveli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vlerave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reale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tyre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konsumatorin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Shërbimet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sotme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krijojnë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shumicën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vendeve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punës</w:t>
            </w:r>
            <w:proofErr w:type="spellEnd"/>
            <w:r w:rsidRPr="00467134">
              <w:rPr>
                <w:rFonts w:eastAsia="Arial"/>
              </w:rPr>
              <w:t xml:space="preserve">, me </w:t>
            </w:r>
            <w:proofErr w:type="spellStart"/>
            <w:r w:rsidRPr="00467134">
              <w:rPr>
                <w:rFonts w:eastAsia="Arial"/>
              </w:rPr>
              <w:t>shkathtësi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pa </w:t>
            </w:r>
            <w:proofErr w:type="spellStart"/>
            <w:r w:rsidRPr="00467134">
              <w:rPr>
                <w:rFonts w:eastAsia="Arial"/>
              </w:rPr>
              <w:t>shkathtësi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profesionale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globale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behët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efikas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komunkim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efikas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drejtpërdrejt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klientët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konsumatorët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Krijimi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markave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trajnimi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ekspertëve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vlerave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përcaktimi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vlerës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çmimit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cilësia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etj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përbejnë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sfidë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por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mundësi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  <w:r w:rsidRPr="00467134">
              <w:rPr>
                <w:rFonts w:eastAsia="Arial"/>
              </w:rPr>
              <w:t>.</w:t>
            </w:r>
          </w:p>
          <w:p w14:paraId="2F35D1A7" w14:textId="77777777" w:rsidR="00667967" w:rsidRPr="00467134" w:rsidRDefault="00667967">
            <w:pPr>
              <w:jc w:val="both"/>
              <w:rPr>
                <w:rFonts w:eastAsia="Arial"/>
              </w:rPr>
            </w:pPr>
          </w:p>
          <w:p w14:paraId="2F35D1A8" w14:textId="77777777" w:rsidR="00667967" w:rsidRPr="00467134" w:rsidRDefault="004647F9">
            <w:p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tregut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vendet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zhvilluara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përbejnë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pjesën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ndjeshme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profitabile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zhvillimit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Resurset</w:t>
            </w:r>
            <w:proofErr w:type="spellEnd"/>
            <w:r w:rsidRPr="00467134">
              <w:rPr>
                <w:rFonts w:eastAsia="Arial"/>
              </w:rPr>
              <w:t xml:space="preserve"> humane, </w:t>
            </w:r>
            <w:proofErr w:type="spellStart"/>
            <w:r w:rsidRPr="00467134">
              <w:rPr>
                <w:rFonts w:eastAsia="Arial"/>
              </w:rPr>
              <w:t>teknologjia</w:t>
            </w:r>
            <w:proofErr w:type="spellEnd"/>
            <w:r w:rsidRPr="00467134">
              <w:rPr>
                <w:rFonts w:eastAsia="Arial"/>
              </w:rPr>
              <w:t xml:space="preserve"> informative, </w:t>
            </w:r>
            <w:proofErr w:type="spellStart"/>
            <w:r w:rsidRPr="00467134">
              <w:rPr>
                <w:rFonts w:eastAsia="Arial"/>
              </w:rPr>
              <w:t>inovacionet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turizmi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institucionet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financiare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jofinanciare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komunikacioni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tregtia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përgjithësi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paraqesin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fuqinë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konkurruese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vogla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mesme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mëdha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multinacionale</w:t>
            </w:r>
            <w:proofErr w:type="spellEnd"/>
            <w:r w:rsidRPr="00467134">
              <w:rPr>
                <w:rFonts w:eastAsia="Arial"/>
              </w:rPr>
              <w:t>.</w:t>
            </w:r>
          </w:p>
          <w:p w14:paraId="2F35D1A9" w14:textId="77777777" w:rsidR="00667967" w:rsidRPr="00467134" w:rsidRDefault="00667967">
            <w:pPr>
              <w:jc w:val="both"/>
              <w:rPr>
                <w:rFonts w:eastAsia="Arial"/>
                <w:b/>
              </w:rPr>
            </w:pPr>
          </w:p>
        </w:tc>
      </w:tr>
      <w:tr w:rsidR="00667967" w:rsidRPr="00467134" w14:paraId="2F35D1B2" w14:textId="77777777" w:rsidTr="004647F9">
        <w:trPr>
          <w:trHeight w:val="40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B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Rezultatet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pritura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nxënies</w:t>
            </w:r>
            <w:proofErr w:type="spellEnd"/>
            <w:r w:rsidRPr="00467134">
              <w:rPr>
                <w:rFonts w:eastAsia="Arial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C" w14:textId="77777777" w:rsidR="00667967" w:rsidRPr="00467134" w:rsidRDefault="004647F9">
            <w:pPr>
              <w:jc w:val="both"/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Me </w:t>
            </w:r>
            <w:proofErr w:type="spellStart"/>
            <w:r w:rsidRPr="00467134">
              <w:rPr>
                <w:rFonts w:eastAsia="Arial"/>
              </w:rPr>
              <w:t>kompletimin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suksesshëm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lëndës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studenti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gjendje</w:t>
            </w:r>
            <w:proofErr w:type="spellEnd"/>
            <w:r w:rsidRPr="00467134">
              <w:rPr>
                <w:rFonts w:eastAsia="Arial"/>
              </w:rPr>
              <w:t>:</w:t>
            </w:r>
          </w:p>
          <w:p w14:paraId="2F35D1AD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sfidat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proofErr w:type="gramStart"/>
            <w:r w:rsidRPr="00467134">
              <w:rPr>
                <w:rFonts w:eastAsia="Arial"/>
              </w:rPr>
              <w:t>ambientin</w:t>
            </w:r>
            <w:proofErr w:type="spellEnd"/>
            <w:r w:rsidRPr="00467134">
              <w:rPr>
                <w:rFonts w:eastAsia="Arial"/>
              </w:rPr>
              <w:t xml:space="preserve">  e</w:t>
            </w:r>
            <w:proofErr w:type="gram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</w:p>
          <w:p w14:paraId="2F35D1AE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kuptojë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evoluimin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zhvillimeve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ekonomike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theks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</w:p>
          <w:p w14:paraId="2F35D1AF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dallojë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përparësitë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mangësitë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konkuruese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cilat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konkurojnë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veprimtari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</w:p>
          <w:p w14:paraId="2F35D1B0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proceset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globale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rendësinë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ndërkombëtar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  <w:p w14:paraId="2F35D1B1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përshkruajë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ndikimin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biznesin</w:t>
            </w:r>
            <w:proofErr w:type="spellEnd"/>
            <w:r w:rsidRPr="00467134">
              <w:rPr>
                <w:rFonts w:eastAsia="Arial"/>
              </w:rPr>
              <w:t xml:space="preserve"> global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suksesin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ekonomive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nacionale</w:t>
            </w:r>
            <w:proofErr w:type="spellEnd"/>
            <w:r w:rsidRPr="00467134">
              <w:rPr>
                <w:rFonts w:eastAsia="Arial"/>
              </w:rPr>
              <w:t>.</w:t>
            </w:r>
          </w:p>
        </w:tc>
      </w:tr>
      <w:tr w:rsidR="00667967" w:rsidRPr="00467134" w14:paraId="2F35D1B6" w14:textId="77777777" w:rsidTr="004647F9">
        <w:trPr>
          <w:trHeight w:val="179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3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lastRenderedPageBreak/>
              <w:t>Metodologjia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mësimëdhënies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4" w14:textId="77777777" w:rsidR="00667967" w:rsidRPr="00467134" w:rsidRDefault="004647F9">
            <w:pPr>
              <w:jc w:val="both"/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</w:rPr>
              <w:t>Ligjeratat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konceptuara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atë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mënyrë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që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pjesëmarrja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studentëve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diskutime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madhe</w:t>
            </w:r>
            <w:proofErr w:type="spellEnd"/>
            <w:r w:rsidRPr="00467134">
              <w:rPr>
                <w:rFonts w:eastAsia="Arial"/>
              </w:rPr>
              <w:t xml:space="preserve">.  </w:t>
            </w:r>
            <w:proofErr w:type="spellStart"/>
            <w:r w:rsidRPr="00467134">
              <w:rPr>
                <w:rFonts w:eastAsia="Arial"/>
              </w:rPr>
              <w:t>Bashkëbisedimi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prezantimi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klasë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krijojnë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shtesë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studentët</w:t>
            </w:r>
            <w:proofErr w:type="spellEnd"/>
            <w:r w:rsidRPr="00467134">
              <w:rPr>
                <w:rFonts w:eastAsia="Arial"/>
              </w:rPr>
              <w:t xml:space="preserve">.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favorizohet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ekipore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Leximi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literaturës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gjërë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artikujve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ndryeshëm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lidhur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trendet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paraqet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përparësi</w:t>
            </w:r>
            <w:proofErr w:type="spellEnd"/>
            <w:r w:rsidRPr="00467134">
              <w:rPr>
                <w:rFonts w:eastAsia="Arial"/>
                <w:b/>
              </w:rPr>
              <w:t xml:space="preserve">. </w:t>
            </w:r>
          </w:p>
          <w:p w14:paraId="2F35D1B5" w14:textId="77777777" w:rsidR="00667967" w:rsidRPr="00467134" w:rsidRDefault="00667967">
            <w:pPr>
              <w:rPr>
                <w:rFonts w:eastAsia="Arial"/>
                <w:b/>
              </w:rPr>
            </w:pPr>
          </w:p>
        </w:tc>
      </w:tr>
      <w:tr w:rsidR="00667967" w:rsidRPr="001259B3" w14:paraId="2F35D1BD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7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Metodat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vlerësimit</w:t>
            </w:r>
            <w:proofErr w:type="spellEnd"/>
            <w:r w:rsidRPr="00467134">
              <w:rPr>
                <w:rFonts w:eastAsia="Arial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8" w14:textId="77777777" w:rsidR="00667967" w:rsidRPr="00467134" w:rsidRDefault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studentëve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do </w:t>
            </w:r>
            <w:proofErr w:type="spellStart"/>
            <w:r w:rsidRPr="00467134">
              <w:rPr>
                <w:rFonts w:eastAsia="Arial"/>
                <w:lang w:val="it-IT"/>
              </w:rPr>
              <w:t>behët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tri </w:t>
            </w:r>
            <w:proofErr w:type="spellStart"/>
            <w:r w:rsidRPr="00467134">
              <w:rPr>
                <w:rFonts w:eastAsia="Arial"/>
                <w:lang w:val="it-IT"/>
              </w:rPr>
              <w:t>mënyra</w:t>
            </w:r>
            <w:proofErr w:type="spellEnd"/>
            <w:r w:rsidRPr="00467134">
              <w:rPr>
                <w:rFonts w:eastAsia="Arial"/>
                <w:lang w:val="it-IT"/>
              </w:rPr>
              <w:t>:</w:t>
            </w:r>
          </w:p>
          <w:p w14:paraId="2F35D1B9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klasë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gjatë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ligjeratave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bazë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angazhimit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studentëve</w:t>
            </w:r>
            <w:proofErr w:type="spellEnd"/>
          </w:p>
          <w:p w14:paraId="2F35D1BA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me teste: testi i </w:t>
            </w:r>
            <w:proofErr w:type="spellStart"/>
            <w:proofErr w:type="gramStart"/>
            <w:r w:rsidRPr="00467134">
              <w:rPr>
                <w:rFonts w:eastAsia="Arial"/>
                <w:lang w:val="it-IT"/>
              </w:rPr>
              <w:t>parë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 java</w:t>
            </w:r>
            <w:proofErr w:type="gramEnd"/>
            <w:r w:rsidRPr="00467134">
              <w:rPr>
                <w:rFonts w:eastAsia="Arial"/>
                <w:lang w:val="it-IT"/>
              </w:rPr>
              <w:t xml:space="preserve"> e 7-të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testi i </w:t>
            </w:r>
            <w:proofErr w:type="spellStart"/>
            <w:r w:rsidRPr="00467134">
              <w:rPr>
                <w:rFonts w:eastAsia="Arial"/>
                <w:lang w:val="it-IT"/>
              </w:rPr>
              <w:t>dytë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java 14-të</w:t>
            </w:r>
          </w:p>
          <w:p w14:paraId="2F35D1BB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Provimi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përgjithshëm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me </w:t>
            </w:r>
            <w:proofErr w:type="spellStart"/>
            <w:r w:rsidRPr="00467134">
              <w:rPr>
                <w:rFonts w:eastAsia="Arial"/>
                <w:lang w:val="it-IT"/>
              </w:rPr>
              <w:t>shkrim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sipas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afateve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përcktuara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nga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Fakulteti</w:t>
            </w:r>
            <w:proofErr w:type="spellEnd"/>
            <w:r w:rsidRPr="00467134">
              <w:rPr>
                <w:rFonts w:eastAsia="Arial"/>
                <w:lang w:val="it-IT"/>
              </w:rPr>
              <w:t>.</w:t>
            </w:r>
          </w:p>
          <w:p w14:paraId="2F35D1BC" w14:textId="77777777" w:rsidR="00667967" w:rsidRPr="00467134" w:rsidRDefault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Notë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kaluese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teste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provim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konsiderohet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60% e </w:t>
            </w:r>
            <w:proofErr w:type="spellStart"/>
            <w:r w:rsidRPr="00467134">
              <w:rPr>
                <w:rFonts w:eastAsia="Arial"/>
                <w:lang w:val="it-IT"/>
              </w:rPr>
              <w:t>pyetjeve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përgjigjen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saktë</w:t>
            </w:r>
            <w:proofErr w:type="spellEnd"/>
            <w:r w:rsidRPr="00467134">
              <w:rPr>
                <w:rFonts w:eastAsia="Arial"/>
                <w:lang w:val="it-IT"/>
              </w:rPr>
              <w:t>.</w:t>
            </w:r>
          </w:p>
        </w:tc>
      </w:tr>
      <w:tr w:rsidR="00667967" w:rsidRPr="00467134" w14:paraId="2F35D1BF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35D1BE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</w:p>
        </w:tc>
      </w:tr>
      <w:tr w:rsidR="00667967" w:rsidRPr="00467134" w14:paraId="2F35D1C2" w14:textId="77777777" w:rsidTr="004647F9">
        <w:trPr>
          <w:trHeight w:val="40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0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bazë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1" w14:textId="77777777" w:rsidR="00667967" w:rsidRPr="00467134" w:rsidRDefault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Shpëtim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Çerri</w:t>
            </w:r>
            <w:proofErr w:type="spellEnd"/>
            <w:r w:rsidRPr="00467134">
              <w:rPr>
                <w:rFonts w:eastAsia="Arial"/>
              </w:rPr>
              <w:t xml:space="preserve">: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, EXTRA-R, </w:t>
            </w:r>
            <w:proofErr w:type="spellStart"/>
            <w:r w:rsidRPr="00467134">
              <w:rPr>
                <w:rFonts w:eastAsia="Arial"/>
              </w:rPr>
              <w:t>Tiranë</w:t>
            </w:r>
            <w:proofErr w:type="spellEnd"/>
            <w:r w:rsidRPr="00467134">
              <w:rPr>
                <w:rFonts w:eastAsia="Arial"/>
              </w:rPr>
              <w:t>, 2011</w:t>
            </w:r>
          </w:p>
        </w:tc>
      </w:tr>
      <w:tr w:rsidR="00667967" w:rsidRPr="00467134" w14:paraId="2F35D1C7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3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shtesë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4" w14:textId="77777777" w:rsidR="00667967" w:rsidRPr="00467134" w:rsidRDefault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Philip Kotler, </w:t>
            </w:r>
            <w:proofErr w:type="spellStart"/>
            <w:r w:rsidRPr="00467134">
              <w:rPr>
                <w:rFonts w:eastAsia="Arial"/>
              </w:rPr>
              <w:t>Hermawan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Kartajya</w:t>
            </w:r>
            <w:proofErr w:type="spellEnd"/>
            <w:r w:rsidRPr="00467134">
              <w:rPr>
                <w:rFonts w:eastAsia="Arial"/>
              </w:rPr>
              <w:t xml:space="preserve"> &amp;</w:t>
            </w:r>
            <w:proofErr w:type="spellStart"/>
            <w:r w:rsidRPr="00467134">
              <w:rPr>
                <w:rFonts w:eastAsia="Arial"/>
              </w:rPr>
              <w:t>Iwan</w:t>
            </w:r>
            <w:proofErr w:type="spellEnd"/>
            <w:r w:rsidRPr="00467134">
              <w:rPr>
                <w:rFonts w:eastAsia="Arial"/>
              </w:rPr>
              <w:t xml:space="preserve"> Setiawan: Marketing 3.0, John </w:t>
            </w:r>
            <w:proofErr w:type="spellStart"/>
            <w:r w:rsidRPr="00467134">
              <w:rPr>
                <w:rFonts w:eastAsia="Arial"/>
              </w:rPr>
              <w:t>Wilez</w:t>
            </w:r>
            <w:proofErr w:type="spellEnd"/>
            <w:r w:rsidRPr="00467134">
              <w:rPr>
                <w:rFonts w:eastAsia="Arial"/>
              </w:rPr>
              <w:t xml:space="preserve"> &amp;Sons, INC Hoboken, New Jersey 2010.</w:t>
            </w:r>
          </w:p>
          <w:p w14:paraId="2F35D1C5" w14:textId="77777777" w:rsidR="00667967" w:rsidRPr="00467134" w:rsidRDefault="00667967">
            <w:pPr>
              <w:rPr>
                <w:rFonts w:eastAsia="Arial"/>
              </w:rPr>
            </w:pPr>
          </w:p>
          <w:p w14:paraId="2F35D1C6" w14:textId="77777777" w:rsidR="00667967" w:rsidRPr="00467134" w:rsidRDefault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Philip Kotler, Gary </w:t>
            </w:r>
            <w:proofErr w:type="spellStart"/>
            <w:r w:rsidRPr="00467134">
              <w:rPr>
                <w:rFonts w:eastAsia="Arial"/>
              </w:rPr>
              <w:t>Amstrong</w:t>
            </w:r>
            <w:proofErr w:type="spellEnd"/>
            <w:r w:rsidRPr="00467134">
              <w:rPr>
                <w:rFonts w:eastAsia="Arial"/>
              </w:rPr>
              <w:t xml:space="preserve">: </w:t>
            </w:r>
            <w:proofErr w:type="spellStart"/>
            <w:r w:rsidRPr="00467134">
              <w:rPr>
                <w:rFonts w:eastAsia="Arial"/>
              </w:rPr>
              <w:t>Parimet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</w:p>
        </w:tc>
      </w:tr>
    </w:tbl>
    <w:p w14:paraId="2F35D1C8" w14:textId="77777777" w:rsidR="00667967" w:rsidRPr="00467134" w:rsidRDefault="00667967">
      <w:pPr>
        <w:rPr>
          <w:rFonts w:eastAsia="Arial"/>
          <w:b/>
        </w:rPr>
      </w:pPr>
    </w:p>
    <w:tbl>
      <w:tblPr>
        <w:tblStyle w:val="a0"/>
        <w:tblpPr w:leftFromText="180" w:rightFromText="180" w:vertAnchor="text" w:horzAnchor="margin" w:tblpX="-275" w:tblpY="-9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3"/>
        <w:gridCol w:w="7357"/>
      </w:tblGrid>
      <w:tr w:rsidR="004647F9" w:rsidRPr="00467134" w14:paraId="58EF9ECE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CB5101" w14:textId="3C01D76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Plani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detajizuar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mësimit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për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një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semestër</w:t>
            </w:r>
            <w:proofErr w:type="spellEnd"/>
          </w:p>
        </w:tc>
      </w:tr>
      <w:tr w:rsidR="004647F9" w:rsidRPr="00467134" w14:paraId="07A4CDBE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AC2005" w14:textId="77777777" w:rsidR="004647F9" w:rsidRPr="00467134" w:rsidRDefault="004647F9" w:rsidP="004647F9">
            <w:pPr>
              <w:rPr>
                <w:rFonts w:eastAsia="Arial"/>
                <w:b/>
              </w:rPr>
            </w:pP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556232" w14:textId="7777777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Ligjerata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</w:p>
        </w:tc>
      </w:tr>
      <w:tr w:rsidR="004647F9" w:rsidRPr="001259B3" w14:paraId="20021B7C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0A1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parë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994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Kuptimi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produkteve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shërbyese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, </w:t>
            </w:r>
            <w:proofErr w:type="spellStart"/>
            <w:r w:rsidRPr="00467134">
              <w:rPr>
                <w:rFonts w:eastAsia="Arial"/>
                <w:lang w:val="it-IT"/>
              </w:rPr>
              <w:t>konsumatorëve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dhe tregjeve              </w:t>
            </w:r>
          </w:p>
        </w:tc>
      </w:tr>
      <w:tr w:rsidR="004647F9" w:rsidRPr="001259B3" w14:paraId="42D92F96" w14:textId="77777777" w:rsidTr="004647F9">
        <w:trPr>
          <w:trHeight w:val="30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9EC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dytë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D36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Ekonomia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natyra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e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</w:p>
        </w:tc>
      </w:tr>
      <w:tr w:rsidR="004647F9" w:rsidRPr="00467134" w14:paraId="1BDBEAF5" w14:textId="77777777" w:rsidTr="004647F9">
        <w:trPr>
          <w:trHeight w:val="25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7C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tretë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8C7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Vlerësimi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mundësive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biznesore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</w:p>
        </w:tc>
      </w:tr>
      <w:tr w:rsidR="004647F9" w:rsidRPr="00467134" w14:paraId="70909C22" w14:textId="77777777" w:rsidTr="004647F9">
        <w:trPr>
          <w:trHeight w:val="59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97A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katërt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A4F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Sjellja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konsumtarëve</w:t>
            </w:r>
            <w:proofErr w:type="spellEnd"/>
            <w:r w:rsidRPr="00467134">
              <w:rPr>
                <w:rFonts w:eastAsia="Arial"/>
              </w:rPr>
              <w:t xml:space="preserve"> - </w:t>
            </w:r>
            <w:proofErr w:type="spellStart"/>
            <w:r w:rsidRPr="00467134">
              <w:rPr>
                <w:rFonts w:eastAsia="Arial"/>
              </w:rPr>
              <w:t>procesi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blerjes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pritjet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konsumatorit</w:t>
            </w:r>
            <w:proofErr w:type="spellEnd"/>
          </w:p>
        </w:tc>
      </w:tr>
      <w:tr w:rsidR="004647F9" w:rsidRPr="00467134" w14:paraId="5A1BBB9D" w14:textId="77777777" w:rsidTr="004647F9">
        <w:trPr>
          <w:trHeight w:val="32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07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pestë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FFE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Pozicionimi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konkuruese</w:t>
            </w:r>
            <w:proofErr w:type="spellEnd"/>
          </w:p>
        </w:tc>
      </w:tr>
      <w:tr w:rsidR="004647F9" w:rsidRPr="00467134" w14:paraId="3D675130" w14:textId="77777777" w:rsidTr="004647F9">
        <w:trPr>
          <w:trHeight w:val="34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5CA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gjashtë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BD5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proofErr w:type="gramStart"/>
            <w:r w:rsidRPr="00467134">
              <w:rPr>
                <w:rFonts w:eastAsia="Arial"/>
              </w:rPr>
              <w:t>Cilësia</w:t>
            </w:r>
            <w:proofErr w:type="spellEnd"/>
            <w:r w:rsidRPr="00467134">
              <w:rPr>
                <w:rFonts w:eastAsia="Arial"/>
              </w:rPr>
              <w:t xml:space="preserve">  e</w:t>
            </w:r>
            <w:proofErr w:type="gram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</w:tc>
      </w:tr>
      <w:tr w:rsidR="004647F9" w:rsidRPr="00467134" w14:paraId="43EE5D31" w14:textId="77777777" w:rsidTr="004647F9">
        <w:trPr>
          <w:trHeight w:val="296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ADD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shtatë</w:t>
            </w:r>
            <w:proofErr w:type="spellEnd"/>
            <w:r w:rsidRPr="00467134">
              <w:rPr>
                <w:rFonts w:eastAsia="Arial"/>
              </w:rPr>
              <w:t xml:space="preserve">: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49D" w14:textId="7777777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Testi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parë</w:t>
            </w:r>
            <w:proofErr w:type="spellEnd"/>
          </w:p>
        </w:tc>
      </w:tr>
      <w:tr w:rsidR="004647F9" w:rsidRPr="001259B3" w14:paraId="3EDAAA7C" w14:textId="77777777" w:rsidTr="004647F9">
        <w:trPr>
          <w:trHeight w:val="287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F8B1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7A9D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Evidenca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fizike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mjedisi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shërbimit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</w:p>
        </w:tc>
      </w:tr>
      <w:tr w:rsidR="004647F9" w:rsidRPr="001259B3" w14:paraId="696EA343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1B8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nëntë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AFF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Roli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punonjësve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konsumatorëve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ofrimin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e </w:t>
            </w:r>
            <w:proofErr w:type="spellStart"/>
            <w:r w:rsidRPr="00467134">
              <w:rPr>
                <w:rFonts w:eastAsia="Arial"/>
                <w:lang w:val="it-IT"/>
              </w:rPr>
              <w:t>shërbimit</w:t>
            </w:r>
            <w:proofErr w:type="spellEnd"/>
          </w:p>
        </w:tc>
      </w:tr>
      <w:tr w:rsidR="004647F9" w:rsidRPr="001259B3" w14:paraId="15D06ED3" w14:textId="77777777" w:rsidTr="004647F9">
        <w:trPr>
          <w:trHeight w:val="30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3E3F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dhjetë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8DB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Zhvillimi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disenjimi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reja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</w:p>
        </w:tc>
      </w:tr>
      <w:tr w:rsidR="004647F9" w:rsidRPr="00467134" w14:paraId="2ED9A0B2" w14:textId="77777777" w:rsidTr="004647F9">
        <w:trPr>
          <w:trHeight w:val="26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277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njëmbedhjetë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9D1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marrëdhenieve</w:t>
            </w:r>
            <w:proofErr w:type="spellEnd"/>
          </w:p>
        </w:tc>
      </w:tr>
      <w:tr w:rsidR="004647F9" w:rsidRPr="001259B3" w14:paraId="6CFD08B7" w14:textId="77777777" w:rsidTr="004647F9">
        <w:trPr>
          <w:trHeight w:val="25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839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dymbëdhjetë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190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Përcaktimi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çmimeve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menaxhimi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hyrave</w:t>
            </w:r>
            <w:proofErr w:type="spellEnd"/>
          </w:p>
        </w:tc>
      </w:tr>
      <w:tr w:rsidR="004647F9" w:rsidRPr="00467134" w14:paraId="3E25297B" w14:textId="77777777" w:rsidTr="004647F9">
        <w:trPr>
          <w:trHeight w:val="32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58A7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trembëdhjetë</w:t>
            </w:r>
            <w:proofErr w:type="spellEnd"/>
            <w:r w:rsidRPr="00467134">
              <w:rPr>
                <w:rFonts w:eastAsia="Arial"/>
              </w:rPr>
              <w:t xml:space="preserve">:  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864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Kanalet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ofrimit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</w:tc>
      </w:tr>
      <w:tr w:rsidR="004647F9" w:rsidRPr="001259B3" w14:paraId="5FECB90E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5C4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katërmbëdhjetë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7120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Dështimet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rigjenerimi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</w:p>
        </w:tc>
      </w:tr>
      <w:tr w:rsidR="004647F9" w:rsidRPr="00467134" w14:paraId="5DD0ABA8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4599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pesëmbëdhjetë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CD8E" w14:textId="7777777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Testi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dytë</w:t>
            </w:r>
            <w:proofErr w:type="spellEnd"/>
          </w:p>
        </w:tc>
      </w:tr>
    </w:tbl>
    <w:p w14:paraId="2F35D1C9" w14:textId="77777777" w:rsidR="00667967" w:rsidRDefault="00667967">
      <w:pPr>
        <w:rPr>
          <w:rFonts w:ascii="Arial" w:eastAsia="Arial" w:hAnsi="Arial" w:cs="Arial"/>
          <w:b/>
        </w:rPr>
      </w:pPr>
    </w:p>
    <w:tbl>
      <w:tblPr>
        <w:tblStyle w:val="a1"/>
        <w:tblpPr w:leftFromText="180" w:rightFromText="180" w:vertAnchor="text" w:horzAnchor="margin" w:tblpX="-275" w:tblpY="-4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4647F9" w:rsidRPr="001259B3" w14:paraId="47C37921" w14:textId="77777777" w:rsidTr="004647F9"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85ECBF6" w14:textId="77777777" w:rsidR="004647F9" w:rsidRPr="00467134" w:rsidRDefault="004647F9" w:rsidP="004647F9">
            <w:pPr>
              <w:rPr>
                <w:rFonts w:eastAsia="Arial"/>
                <w:b/>
                <w:lang w:val="de-DE"/>
              </w:rPr>
            </w:pPr>
            <w:proofErr w:type="spellStart"/>
            <w:r w:rsidRPr="00467134">
              <w:rPr>
                <w:rFonts w:eastAsia="Arial"/>
                <w:b/>
                <w:lang w:val="de-DE"/>
              </w:rPr>
              <w:t>Politikat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akademike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dhe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rregullat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mirësjelljes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>:</w:t>
            </w:r>
          </w:p>
        </w:tc>
      </w:tr>
      <w:tr w:rsidR="004647F9" w:rsidRPr="001259B3" w14:paraId="03D69F3A" w14:textId="77777777" w:rsidTr="004647F9">
        <w:trPr>
          <w:trHeight w:val="62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BBE2" w14:textId="77777777" w:rsidR="004647F9" w:rsidRPr="00467134" w:rsidRDefault="004647F9" w:rsidP="004647F9">
            <w:pPr>
              <w:rPr>
                <w:rFonts w:eastAsia="Arial"/>
                <w:b/>
                <w:lang w:val="de-DE"/>
              </w:rPr>
            </w:pPr>
            <w:bookmarkStart w:id="0" w:name="_heading=h.gjdgxs" w:colFirst="0" w:colLast="0"/>
            <w:bookmarkEnd w:id="0"/>
            <w:proofErr w:type="spellStart"/>
            <w:r w:rsidRPr="00467134">
              <w:rPr>
                <w:rFonts w:eastAsia="Arial"/>
                <w:b/>
                <w:lang w:val="de-DE"/>
              </w:rPr>
              <w:t>Vijimi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i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rregullt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saktësia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leximi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i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materialeve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të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kërkuara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dhe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pjesëmarrja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aktive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diskutimet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klasë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janë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elemente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kritike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për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ketë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lëndë</w:t>
            </w:r>
            <w:proofErr w:type="spellEnd"/>
            <w:r>
              <w:rPr>
                <w:rFonts w:eastAsia="Arial"/>
                <w:b/>
                <w:lang w:val="de-DE"/>
              </w:rPr>
              <w:t>.</w:t>
            </w:r>
          </w:p>
        </w:tc>
      </w:tr>
    </w:tbl>
    <w:p w14:paraId="2F35D208" w14:textId="77777777" w:rsidR="00667967" w:rsidRPr="00C15F25" w:rsidRDefault="00667967" w:rsidP="004647F9">
      <w:pPr>
        <w:rPr>
          <w:lang w:val="de-DE"/>
        </w:rPr>
      </w:pPr>
    </w:p>
    <w:sectPr w:rsidR="00667967" w:rsidRPr="00C15F25" w:rsidSect="004647F9">
      <w:pgSz w:w="12240" w:h="15840"/>
      <w:pgMar w:top="864" w:right="1080" w:bottom="864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7956"/>
    <w:multiLevelType w:val="multilevel"/>
    <w:tmpl w:val="40DE12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468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67"/>
    <w:rsid w:val="00025C02"/>
    <w:rsid w:val="001259B3"/>
    <w:rsid w:val="002D2074"/>
    <w:rsid w:val="004647F9"/>
    <w:rsid w:val="00467134"/>
    <w:rsid w:val="005B0BBD"/>
    <w:rsid w:val="005B12CD"/>
    <w:rsid w:val="00667967"/>
    <w:rsid w:val="00B733FC"/>
    <w:rsid w:val="00C15F25"/>
    <w:rsid w:val="00EF3A8C"/>
    <w:rsid w:val="00F22C8A"/>
    <w:rsid w:val="00F43080"/>
    <w:rsid w:val="00F9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D182"/>
  <w15:docId w15:val="{F5F764EA-84FD-4921-A44A-BD811671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qFormat/>
    <w:rsid w:val="00684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0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fKPJLMI94MJzLnQT0+I4/J4wTw==">AMUW2mVHABJKrB6WvFrpBFioJlu5gRZQ4/8WpCqLYcutCrX4tU/8Bcqa7cHUAjaBqpBMy/uhFfVbtaf6SAKYbAty1RlSBgSZ1XXeSLeffuaeE8eMEAFH/zEfg+qw3vDgPaw7K2NJ3dWt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</dc:creator>
  <cp:lastModifiedBy>Besim Beqaj</cp:lastModifiedBy>
  <cp:revision>2</cp:revision>
  <cp:lastPrinted>2022-02-20T10:57:00Z</cp:lastPrinted>
  <dcterms:created xsi:type="dcterms:W3CDTF">2023-02-18T16:26:00Z</dcterms:created>
  <dcterms:modified xsi:type="dcterms:W3CDTF">2023-02-18T16:26:00Z</dcterms:modified>
</cp:coreProperties>
</file>