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4E68F0">
        <w:rPr>
          <w:rFonts w:ascii="Calibri" w:hAnsi="Calibri"/>
          <w:b/>
          <w:sz w:val="28"/>
          <w:szCs w:val="28"/>
        </w:rPr>
        <w:t>Analizë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FA34A9" w:rsidP="00FA34A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FShMN- </w:t>
            </w:r>
          </w:p>
        </w:tc>
      </w:tr>
      <w:tr w:rsidR="00151A1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4E68F0" w:rsidP="00FA34A9">
            <w:pPr>
              <w:rPr>
                <w:rFonts w:eastAsiaTheme="minorHAnsi" w:cstheme="minorHAnsi"/>
              </w:rPr>
            </w:pPr>
            <w:r w:rsidRPr="00DF7C2C">
              <w:rPr>
                <w:rFonts w:cstheme="minorHAnsi"/>
                <w:bCs/>
              </w:rPr>
              <w:t>Analizë III</w:t>
            </w:r>
          </w:p>
        </w:tc>
      </w:tr>
      <w:tr w:rsidR="00151A1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FA34A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Bachelor(</w:t>
            </w:r>
            <w:proofErr w:type="spellStart"/>
            <w:r w:rsidRPr="00DF7C2C">
              <w:rPr>
                <w:rFonts w:asciiTheme="minorHAnsi" w:hAnsiTheme="minorHAnsi" w:cstheme="minorHAnsi"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val="fr-FR"/>
              </w:rPr>
              <w:t>Matematike</w:t>
            </w:r>
            <w:proofErr w:type="spellEnd"/>
            <w:r w:rsidRPr="00DF7C2C">
              <w:rPr>
                <w:rFonts w:asciiTheme="minorHAnsi" w:hAnsiTheme="minorHAnsi" w:cstheme="minorHAnsi"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val="fr-FR"/>
              </w:rPr>
              <w:t>Financiare</w:t>
            </w:r>
            <w:proofErr w:type="spellEnd"/>
            <w:r w:rsidRPr="00DF7C2C">
              <w:rPr>
                <w:rFonts w:asciiTheme="minorHAnsi" w:hAnsiTheme="minorHAnsi" w:cstheme="minorHAnsi"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val="fr-FR"/>
              </w:rPr>
              <w:t xml:space="preserve"> ne Banka </w:t>
            </w:r>
            <w:proofErr w:type="spellStart"/>
            <w:r w:rsidRPr="00DF7C2C">
              <w:rPr>
                <w:rFonts w:asciiTheme="minorHAnsi" w:hAnsiTheme="minorHAnsi" w:cstheme="minorHAnsi"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val="fr-FR"/>
              </w:rPr>
              <w:t>dhe</w:t>
            </w:r>
            <w:proofErr w:type="spellEnd"/>
            <w:r w:rsidRPr="00DF7C2C">
              <w:rPr>
                <w:rFonts w:asciiTheme="minorHAnsi" w:hAnsiTheme="minorHAnsi" w:cstheme="minorHAnsi"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  <w:lang w:val="fr-FR"/>
              </w:rPr>
              <w:t>Sigurime</w:t>
            </w:r>
            <w:proofErr w:type="spellEnd"/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151A1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FA34A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FA34A9" w:rsidP="00FA34A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Viti i </w:t>
            </w:r>
            <w:r w:rsidR="004E68F0"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dyt</w:t>
            </w:r>
            <w:r w:rsidR="00193CBB"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ë / Semestri i </w:t>
            </w:r>
            <w:r w:rsidR="004E68F0"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tret</w:t>
            </w:r>
            <w:r w:rsidR="00193CBB"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</w:p>
        </w:tc>
      </w:tr>
      <w:tr w:rsidR="00151A1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FA34A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="00193CBB"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+0+2</w:t>
            </w:r>
          </w:p>
        </w:tc>
      </w:tr>
      <w:tr w:rsidR="00151A1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4E68F0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151A1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DF7C2C" w:rsidRDefault="00FA34A9" w:rsidP="00FA34A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N/A, Matematikë</w:t>
            </w:r>
          </w:p>
        </w:tc>
      </w:tr>
      <w:tr w:rsidR="00193CBB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DF7C2C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DF7C2C" w:rsidRDefault="00193CBB" w:rsidP="004E68F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</w:rPr>
              <w:t>Dr.</w:t>
            </w:r>
            <w:r w:rsidR="00FA34A9" w:rsidRPr="00DF7C2C">
              <w:rPr>
                <w:rFonts w:asciiTheme="minorHAnsi" w:eastAsiaTheme="minorHAnsi" w:hAnsiTheme="minorHAnsi" w:cstheme="minorHAnsi"/>
                <w:sz w:val="22"/>
                <w:szCs w:val="22"/>
              </w:rPr>
              <w:t>sc</w:t>
            </w: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4E68F0" w:rsidRPr="00DF7C2C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Ramadan </w:t>
            </w:r>
            <w:proofErr w:type="spellStart"/>
            <w:r w:rsidR="004E68F0" w:rsidRPr="00DF7C2C">
              <w:rPr>
                <w:rFonts w:asciiTheme="minorHAnsi" w:eastAsiaTheme="minorHAnsi" w:hAnsiTheme="minorHAnsi" w:cstheme="minorHAnsi"/>
                <w:sz w:val="22"/>
                <w:szCs w:val="22"/>
              </w:rPr>
              <w:t>Zejnullahu</w:t>
            </w:r>
            <w:proofErr w:type="spellEnd"/>
          </w:p>
        </w:tc>
      </w:tr>
      <w:tr w:rsidR="00193CBB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DF7C2C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DF7C2C" w:rsidRDefault="004E68F0" w:rsidP="004E68F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ramadan</w:t>
            </w:r>
            <w:r w:rsidR="00193CBB"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  <w:r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zejnullahu</w:t>
            </w:r>
            <w:r w:rsidR="00193CBB" w:rsidRPr="00DF7C2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</w:tc>
      </w:tr>
      <w:tr w:rsidR="00193CBB" w:rsidRPr="00DF7C2C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93CBB" w:rsidRPr="00DF7C2C" w:rsidRDefault="00193CBB" w:rsidP="00193C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93CBB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DF7C2C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DF7C2C" w:rsidRDefault="004E68F0" w:rsidP="004E68F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Ky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kurs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përfshin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limitet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vazhdueshmërinë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derivatet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pjesshme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elemente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gjeometrisë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diferenciale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vektorin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. Me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tej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vazhdohet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njohuri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mbi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seritë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zbërthimi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funksioneve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seri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polinomiale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integralin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Furie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DF7C2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Aty ku është e mundur do të përfshihet edhe zgjidhja me anë të programeve matematike.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Kjo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lënd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krijon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bazë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fuqishme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matematike</w:t>
            </w:r>
            <w:proofErr w:type="spellEnd"/>
            <w:r w:rsidRPr="00DF7C2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93CBB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DF7C2C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DF7C2C" w:rsidRDefault="004E68F0" w:rsidP="00FA34A9">
            <w:pPr>
              <w:shd w:val="solid" w:color="FFFFFF" w:fill="auto"/>
              <w:jc w:val="both"/>
              <w:rPr>
                <w:rFonts w:cstheme="minorHAnsi"/>
                <w:b/>
              </w:rPr>
            </w:pPr>
            <w:r w:rsidRPr="00DF7C2C">
              <w:rPr>
                <w:rFonts w:cstheme="minorHAnsi"/>
              </w:rPr>
              <w:t>Qëllimi i kursit është njohja me kuptime të reja dhe përgjithësimi i atyre të njohura nga hapësira njëdimensionale në atë dy, tri e m - dimensione. Si qëllimi tjetër i kursit është vazhdimi i krijimit të një baze solide për të kuptuar materialin nga analiza matematike, e cila paraqet themelin e lëndëve nga analiza edhe në studimet Master dhe e cila është një prej shtyllave themelore për formësimin e matematikanit e pedagogut të ri.</w:t>
            </w:r>
            <w:r w:rsidR="00FA34A9" w:rsidRPr="00DF7C2C">
              <w:rPr>
                <w:rFonts w:cstheme="minorHAnsi"/>
              </w:rPr>
              <w:t xml:space="preserve"> </w:t>
            </w:r>
          </w:p>
        </w:tc>
      </w:tr>
      <w:tr w:rsidR="00193CBB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93CBB" w:rsidRPr="00DF7C2C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4E68F0" w:rsidRPr="00DF7C2C" w:rsidRDefault="004E68F0" w:rsidP="004E68F0">
            <w:pPr>
              <w:shd w:val="solid" w:color="FFFFFF" w:fill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Në fund të semestrit, studentët do të jenë në gjendje:</w:t>
            </w:r>
          </w:p>
          <w:p w:rsidR="004E68F0" w:rsidRPr="00DF7C2C" w:rsidRDefault="004E68F0" w:rsidP="004E68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Të krijojë një lidhje logjike midis kapitujve</w:t>
            </w:r>
          </w:p>
          <w:p w:rsidR="004E68F0" w:rsidRPr="00DF7C2C" w:rsidRDefault="004E68F0" w:rsidP="004E68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Të insistojë në krijimin e lidhjeve të kësaj lënde me lëndët e tjera dhe në aplikime praktike studimore për pjesën me të madhe të temave.</w:t>
            </w:r>
          </w:p>
          <w:p w:rsidR="004E68F0" w:rsidRPr="00DF7C2C" w:rsidRDefault="004E68F0" w:rsidP="004E68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te dijë mbi serite Fourie dhe aplikimet e tyre;</w:t>
            </w:r>
          </w:p>
          <w:p w:rsidR="004E68F0" w:rsidRPr="00DF7C2C" w:rsidRDefault="004E68F0" w:rsidP="004E68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të njeh kuptimet dhe rezultatet themelore të vargjeve e serive funksionale , kuptimin hapësirave metrike dhe te bashkësive ne to, të funksioneve me shumë ndryshore;</w:t>
            </w:r>
          </w:p>
          <w:p w:rsidR="004E68F0" w:rsidRPr="00DF7C2C" w:rsidRDefault="004E68F0" w:rsidP="004E68F0">
            <w:pPr>
              <w:pStyle w:val="ListParagraph"/>
              <w:numPr>
                <w:ilvl w:val="0"/>
                <w:numId w:val="4"/>
              </w:numPr>
              <w:shd w:val="solid" w:color="FFFFFF" w:fill="auto"/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krahason kuptimet dhe rezultatet themelore të funksioneve me shumë ndryshore me ato me një ndryshore;</w:t>
            </w:r>
          </w:p>
          <w:p w:rsidR="001738DC" w:rsidRPr="00DF7C2C" w:rsidRDefault="004E68F0" w:rsidP="004E68F0">
            <w:pPr>
              <w:pStyle w:val="ListParagraph"/>
              <w:numPr>
                <w:ilvl w:val="0"/>
                <w:numId w:val="4"/>
              </w:numPr>
              <w:shd w:val="solid" w:color="FFFFFF" w:fill="auto"/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Aplikoj vlerat ekstreme te funksioneve me shume ndryshore në optimizim.</w:t>
            </w:r>
          </w:p>
        </w:tc>
      </w:tr>
      <w:tr w:rsidR="00193CBB" w:rsidRPr="00DF7C2C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DF7C2C" w:rsidRDefault="00193CBB" w:rsidP="00193CBB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193CBB" w:rsidRPr="00DF7C2C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DF7C2C" w:rsidRDefault="00193CBB" w:rsidP="00193CB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Ngarkesa e studentit (duhet të jetë në përputhje me Rezultatet e Nxënies të studentit)</w:t>
            </w:r>
          </w:p>
        </w:tc>
      </w:tr>
      <w:tr w:rsidR="00193CBB" w:rsidRPr="00DF7C2C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DF7C2C" w:rsidRDefault="00193CBB" w:rsidP="00193CBB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DF7C2C" w:rsidRDefault="00193CBB" w:rsidP="00193CBB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DF7C2C" w:rsidRDefault="00193CBB" w:rsidP="00193CBB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DF7C2C" w:rsidRDefault="00193CBB" w:rsidP="00193CBB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>Gjithsej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FA34A9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34716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30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30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-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3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6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-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34716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34716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45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10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2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Projektet, prezantimet, detyrat,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  <w:lang w:val="en-US"/>
              </w:rPr>
              <w:t>1</w:t>
            </w:r>
            <w:r w:rsidRPr="00DF7C2C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24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  <w:lang w:eastAsia="ja-JP"/>
              </w:rPr>
            </w:pPr>
            <w:r w:rsidRPr="00DF7C2C">
              <w:rPr>
                <w:rFonts w:cstheme="minorHAnsi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694277" w:rsidRPr="00DF7C2C" w:rsidRDefault="00694277" w:rsidP="00694277">
            <w:pPr>
              <w:spacing w:after="0" w:line="240" w:lineRule="exact"/>
              <w:jc w:val="center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-</w:t>
            </w:r>
          </w:p>
        </w:tc>
      </w:tr>
      <w:tr w:rsidR="00694277" w:rsidRPr="00DF7C2C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DF7C2C" w:rsidRDefault="00C94581" w:rsidP="00694277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>150</w:t>
            </w:r>
          </w:p>
        </w:tc>
      </w:tr>
      <w:tr w:rsidR="00694277" w:rsidRPr="00DF7C2C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DF7C2C" w:rsidRDefault="00694277" w:rsidP="00694277">
            <w:pPr>
              <w:spacing w:after="0"/>
              <w:rPr>
                <w:rFonts w:cstheme="minorHAnsi"/>
                <w:b/>
              </w:rPr>
            </w:pP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694277" w:rsidP="006942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FA34A9" w:rsidP="00FA34A9">
            <w:pPr>
              <w:rPr>
                <w:rFonts w:cstheme="minorHAnsi"/>
              </w:rPr>
            </w:pPr>
            <w:r w:rsidRPr="00DF7C2C">
              <w:rPr>
                <w:rFonts w:cstheme="minorHAnsi"/>
                <w:lang w:val="it-IT"/>
              </w:rPr>
              <w:t>Ligjërata, diskutime, ushtrime, konsultime, detyra shtëpie, kollokuiume dhe provime.</w:t>
            </w: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4E68F0" w:rsidP="004E68F0">
            <w:pPr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Detyrat e shtëpisë 10%; Detyrat e klasës 10%; provimi final: pjesa me shkrim  40%;  pjesa me gojë 40%; totali: 100% </w:t>
            </w:r>
          </w:p>
        </w:tc>
      </w:tr>
      <w:tr w:rsidR="00694277" w:rsidRPr="00DF7C2C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694277" w:rsidRPr="00DF7C2C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694277" w:rsidRPr="00DF7C2C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8F0" w:rsidRPr="00DF7C2C" w:rsidRDefault="004E68F0" w:rsidP="004E68F0">
            <w:pPr>
              <w:pStyle w:val="ListParagraph"/>
              <w:numPr>
                <w:ilvl w:val="0"/>
                <w:numId w:val="5"/>
              </w:numPr>
              <w:shd w:val="solid" w:color="FFFFFF" w:fill="auto"/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Minir Efendija, Analiza III , Universiteti i Prishtinës, 2005;  </w:t>
            </w:r>
          </w:p>
          <w:p w:rsidR="004E68F0" w:rsidRPr="00DF7C2C" w:rsidRDefault="004E68F0" w:rsidP="004E68F0">
            <w:pPr>
              <w:pStyle w:val="ListParagraph"/>
              <w:numPr>
                <w:ilvl w:val="0"/>
                <w:numId w:val="5"/>
              </w:numPr>
              <w:shd w:val="solid" w:color="FFFFFF" w:fill="auto"/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Vladimir Zorich, Mathematical Analysis II</w:t>
            </w:r>
            <w:r w:rsidRPr="00DF7C2C">
              <w:rPr>
                <w:rFonts w:cstheme="minorHAnsi"/>
                <w:color w:val="777777"/>
                <w:shd w:val="clear" w:color="auto" w:fill="FFFFFF"/>
              </w:rPr>
              <w:t> </w:t>
            </w:r>
          </w:p>
          <w:p w:rsidR="00694277" w:rsidRPr="00DF7C2C" w:rsidRDefault="00694277" w:rsidP="00FA34A9">
            <w:pPr>
              <w:shd w:val="solid" w:color="FFFFFF" w:fill="auto"/>
              <w:spacing w:after="0" w:line="240" w:lineRule="auto"/>
              <w:ind w:left="360"/>
              <w:jc w:val="both"/>
              <w:rPr>
                <w:rFonts w:cstheme="minorHAnsi"/>
                <w:lang w:val="en-US"/>
              </w:rPr>
            </w:pPr>
          </w:p>
        </w:tc>
      </w:tr>
      <w:tr w:rsidR="00694277" w:rsidRPr="00DF7C2C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94277" w:rsidRPr="00DF7C2C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F7C2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4E68F0" w:rsidRPr="00DF7C2C" w:rsidRDefault="004E68F0" w:rsidP="004E68F0">
            <w:pPr>
              <w:pStyle w:val="ListParagraph"/>
              <w:numPr>
                <w:ilvl w:val="0"/>
                <w:numId w:val="5"/>
              </w:numPr>
              <w:shd w:val="solid" w:color="FFFFFF" w:fill="auto"/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Bashkim Gazidede, Analiza matematike II, Tiranë 2006.</w:t>
            </w:r>
          </w:p>
          <w:p w:rsidR="004E68F0" w:rsidRPr="00DF7C2C" w:rsidRDefault="004E68F0" w:rsidP="00852881">
            <w:pPr>
              <w:pStyle w:val="ListParagraph"/>
              <w:numPr>
                <w:ilvl w:val="0"/>
                <w:numId w:val="5"/>
              </w:numPr>
              <w:shd w:val="solid" w:color="FFFFFF" w:fill="auto"/>
              <w:spacing w:after="0" w:line="240" w:lineRule="auto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>N.P.Bali, Real Analysis, New Delhi, Firewall Media, 2005.</w:t>
            </w:r>
          </w:p>
          <w:p w:rsidR="00694277" w:rsidRPr="00DF7C2C" w:rsidRDefault="00694277" w:rsidP="00694277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151A17" w:rsidRPr="00DF7C2C" w:rsidTr="00694277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DF7C2C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>Hartimi i planit mësimor</w:t>
            </w:r>
          </w:p>
        </w:tc>
      </w:tr>
      <w:tr w:rsidR="00694277" w:rsidRPr="00DF7C2C" w:rsidTr="00694277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DF7C2C" w:rsidRDefault="0069427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694277" w:rsidRPr="00DF7C2C" w:rsidRDefault="0069427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694277" w:rsidRPr="00DF7C2C" w:rsidTr="00694277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277" w:rsidRPr="00DF7C2C" w:rsidRDefault="00915079" w:rsidP="00694277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DF7C2C">
              <w:rPr>
                <w:rFonts w:cstheme="minorHAnsi"/>
              </w:rPr>
              <w:t>Ligjëratë</w:t>
            </w:r>
            <w:r w:rsidR="00694277" w:rsidRPr="00DF7C2C">
              <w:rPr>
                <w:rFonts w:cstheme="minorHAnsi"/>
              </w:rPr>
              <w:t xml:space="preserve">: </w:t>
            </w:r>
            <w:r w:rsidRPr="00DF7C2C">
              <w:rPr>
                <w:rFonts w:cstheme="minorHAnsi"/>
                <w:color w:val="000000"/>
              </w:rPr>
              <w:t>Njohje me lëndën / Shqyrtimi i syllabusit</w:t>
            </w:r>
          </w:p>
          <w:p w:rsidR="00694277" w:rsidRPr="00DF7C2C" w:rsidRDefault="00915079" w:rsidP="00694277">
            <w:pPr>
              <w:spacing w:after="0" w:line="240" w:lineRule="exact"/>
              <w:rPr>
                <w:rFonts w:cstheme="minorHAnsi"/>
                <w:color w:val="000000"/>
                <w:lang w:val="en-US"/>
              </w:rPr>
            </w:pPr>
            <w:r w:rsidRPr="00DF7C2C">
              <w:rPr>
                <w:rFonts w:cstheme="minorHAnsi"/>
                <w:color w:val="000000"/>
              </w:rPr>
              <w:t>Lexim</w:t>
            </w:r>
            <w:r w:rsidR="00694277" w:rsidRPr="00DF7C2C">
              <w:rPr>
                <w:rFonts w:cstheme="minorHAnsi"/>
                <w:color w:val="000000"/>
              </w:rPr>
              <w:t xml:space="preserve">: </w:t>
            </w:r>
            <w:r w:rsidRPr="00DF7C2C">
              <w:rPr>
                <w:rFonts w:cstheme="minorHAnsi"/>
                <w:color w:val="000000"/>
              </w:rPr>
              <w:t>Syllabusi i lëndës</w:t>
            </w:r>
          </w:p>
        </w:tc>
      </w:tr>
      <w:tr w:rsidR="00694277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5580" w:rsidRPr="00DF7C2C" w:rsidRDefault="00072B25" w:rsidP="00072B25">
            <w:pPr>
              <w:spacing w:after="0" w:line="240" w:lineRule="exact"/>
              <w:jc w:val="both"/>
              <w:rPr>
                <w:rFonts w:cstheme="minorHAnsi"/>
                <w:bCs/>
                <w:lang w:val="de-DE"/>
              </w:rPr>
            </w:pPr>
            <w:r w:rsidRPr="00DF7C2C">
              <w:rPr>
                <w:rFonts w:cstheme="minorHAnsi"/>
              </w:rPr>
              <w:t xml:space="preserve">Ligjëratë:  Konvergjenca dhe konvergjenca uniforme e vargjeve dhe serive funksionale  </w:t>
            </w:r>
          </w:p>
        </w:tc>
      </w:tr>
      <w:tr w:rsidR="00694277" w:rsidRPr="00DF7C2C" w:rsidTr="00694277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  <w:i/>
              </w:rPr>
              <w:t>Java 3</w:t>
            </w:r>
            <w:r w:rsidRPr="00DF7C2C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277" w:rsidRPr="00DF7C2C" w:rsidRDefault="00915079" w:rsidP="0009622D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>Ligjëratë</w:t>
            </w:r>
            <w:r w:rsidR="00694277" w:rsidRPr="00DF7C2C">
              <w:rPr>
                <w:rFonts w:cstheme="minorHAnsi"/>
              </w:rPr>
              <w:t>:</w:t>
            </w:r>
            <w:r w:rsidR="00D66C40" w:rsidRPr="00DF7C2C">
              <w:rPr>
                <w:rFonts w:cstheme="minorHAnsi"/>
              </w:rPr>
              <w:t xml:space="preserve"> </w:t>
            </w:r>
            <w:r w:rsidR="00072B25" w:rsidRPr="00DF7C2C">
              <w:rPr>
                <w:rFonts w:cstheme="minorHAnsi"/>
              </w:rPr>
              <w:t xml:space="preserve"> Kriteret Dirihlesë e Abelit për konvergjencën uniforme të   vargjeve e serive funksionale.  </w:t>
            </w:r>
          </w:p>
        </w:tc>
      </w:tr>
      <w:tr w:rsidR="00694277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DF7C2C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277" w:rsidRPr="00DF7C2C" w:rsidRDefault="00915079" w:rsidP="0009622D">
            <w:pPr>
              <w:spacing w:after="0" w:line="240" w:lineRule="exact"/>
              <w:jc w:val="both"/>
              <w:rPr>
                <w:rFonts w:cstheme="minorHAnsi"/>
                <w:lang w:val="en-US"/>
              </w:rPr>
            </w:pPr>
            <w:r w:rsidRPr="00DF7C2C">
              <w:rPr>
                <w:rFonts w:cstheme="minorHAnsi"/>
              </w:rPr>
              <w:t>Ligjëratë</w:t>
            </w:r>
            <w:r w:rsidR="00694277" w:rsidRPr="00DF7C2C">
              <w:rPr>
                <w:rFonts w:cstheme="minorHAnsi"/>
              </w:rPr>
              <w:t xml:space="preserve">: </w:t>
            </w:r>
            <w:r w:rsidR="00072B25" w:rsidRPr="00DF7C2C">
              <w:rPr>
                <w:rFonts w:cstheme="minorHAnsi"/>
              </w:rPr>
              <w:t xml:space="preserve"> Vetitë e vargjeve e serive uniformisht konvergjente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rPr>
                <w:rFonts w:cstheme="minorHAnsi"/>
                <w:i/>
              </w:rPr>
            </w:pPr>
            <w:r w:rsidRPr="00DF7C2C">
              <w:rPr>
                <w:rFonts w:cstheme="minorHAnsi"/>
              </w:rPr>
              <w:t>Ligjëratë:  Seritë polinomiale.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  <w:i/>
              </w:rPr>
              <w:t>Java 6</w:t>
            </w:r>
            <w:r w:rsidRPr="00DF7C2C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bCs/>
                <w:color w:val="C00000"/>
                <w:lang w:val="de-DE"/>
              </w:rPr>
            </w:pPr>
            <w:r w:rsidRPr="00DF7C2C">
              <w:rPr>
                <w:rFonts w:cstheme="minorHAnsi"/>
              </w:rPr>
              <w:t>Ligjëratë:  Seritë polinomiale (vazhdim). Shembuj.</w:t>
            </w:r>
            <w:r w:rsidRPr="00DF7C2C">
              <w:rPr>
                <w:rFonts w:cstheme="minorHAnsi"/>
                <w:b/>
              </w:rPr>
              <w:tab/>
            </w:r>
            <w:r w:rsidRPr="00DF7C2C">
              <w:rPr>
                <w:rFonts w:cstheme="minorHAnsi"/>
                <w:b/>
              </w:rPr>
              <w:cr/>
              <w:t xml:space="preserve">  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</w:rPr>
            </w:pPr>
            <w:r w:rsidRPr="00DF7C2C">
              <w:rPr>
                <w:rFonts w:cstheme="minorHAnsi"/>
                <w:b/>
                <w:i/>
              </w:rPr>
              <w:lastRenderedPageBreak/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CD6489">
            <w:pPr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Ligjëratë:  </w:t>
            </w:r>
            <w:r w:rsidR="00CD6489">
              <w:t xml:space="preserve"> Seritë e Taylor-it. Aplikimi i serive të Taylor-it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F7C2C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3A4A7F">
            <w:pPr>
              <w:spacing w:after="0" w:line="240" w:lineRule="exact"/>
              <w:jc w:val="both"/>
              <w:rPr>
                <w:rFonts w:cstheme="minorHAnsi"/>
                <w:lang w:val="de-DE"/>
              </w:rPr>
            </w:pPr>
            <w:r w:rsidRPr="00DF7C2C">
              <w:rPr>
                <w:rFonts w:cstheme="minorHAnsi"/>
              </w:rPr>
              <w:t xml:space="preserve">Ligjëratë:  Seritë trigonometrike Furie </w:t>
            </w:r>
            <w:bookmarkStart w:id="0" w:name="_GoBack"/>
            <w:bookmarkEnd w:id="0"/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F7C2C">
              <w:rPr>
                <w:rFonts w:cstheme="minorHAns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spacing w:after="0" w:line="240" w:lineRule="exact"/>
              <w:jc w:val="both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Ligjëratë:  Hapësira </w:t>
            </w:r>
            <w:r w:rsidRPr="00DF7C2C">
              <w:rPr>
                <w:rFonts w:cstheme="minorHAnsi"/>
                <w:position w:val="-4"/>
              </w:rPr>
              <w:object w:dxaOrig="4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8pt;height:15pt" o:ole="">
                  <v:imagedata r:id="rId5" o:title=""/>
                </v:shape>
                <o:OLEObject Type="Embed" ProgID="Equation.DSMT4" ShapeID="_x0000_i1025" DrawAspect="Content" ObjectID="_1794063819" r:id="rId6"/>
              </w:object>
            </w:r>
            <w:r w:rsidRPr="00DF7C2C">
              <w:rPr>
                <w:rFonts w:cstheme="minorHAnsi"/>
              </w:rPr>
              <w:t xml:space="preserve">. Disa nënbashkësi të rëndësishme të hapësirës  </w:t>
            </w:r>
            <w:r w:rsidRPr="00DF7C2C">
              <w:rPr>
                <w:rFonts w:cstheme="minorHAnsi"/>
                <w:position w:val="-4"/>
              </w:rPr>
              <w:object w:dxaOrig="400" w:dyaOrig="300">
                <v:shape id="_x0000_i1026" type="#_x0000_t75" style="width:19.8pt;height:15pt" o:ole="">
                  <v:imagedata r:id="rId5" o:title=""/>
                </v:shape>
                <o:OLEObject Type="Embed" ProgID="Equation.DSMT4" ShapeID="_x0000_i1026" DrawAspect="Content" ObjectID="_1794063820" r:id="rId7"/>
              </w:object>
            </w:r>
            <w:r w:rsidRPr="00DF7C2C">
              <w:rPr>
                <w:rFonts w:cstheme="minorHAnsi"/>
              </w:rPr>
              <w:t>. Kuptimi i metrikes dhe hapesirave metrike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F7C2C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Ligjëratë:   Kuptimi  i funksionit me  </w:t>
            </w:r>
            <w:r w:rsidRPr="00DF7C2C">
              <w:rPr>
                <w:rFonts w:cstheme="minorHAnsi"/>
                <w:position w:val="-6"/>
              </w:rPr>
              <w:object w:dxaOrig="260" w:dyaOrig="220">
                <v:shape id="_x0000_i1027" type="#_x0000_t75" style="width:12.6pt;height:10.8pt" o:ole="">
                  <v:imagedata r:id="rId8" o:title=""/>
                </v:shape>
                <o:OLEObject Type="Embed" ProgID="Equation.DSMT4" ShapeID="_x0000_i1027" DrawAspect="Content" ObjectID="_1794063821" r:id="rId9"/>
              </w:object>
            </w:r>
            <w:r w:rsidRPr="00DF7C2C">
              <w:rPr>
                <w:rFonts w:cstheme="minorHAnsi"/>
              </w:rPr>
              <w:t xml:space="preserve"> ndryshore. Konvergjenca e vargjeve në  </w:t>
            </w:r>
            <w:r w:rsidRPr="00DF7C2C">
              <w:rPr>
                <w:rFonts w:cstheme="minorHAnsi"/>
                <w:position w:val="-4"/>
              </w:rPr>
              <w:object w:dxaOrig="400" w:dyaOrig="300">
                <v:shape id="_x0000_i1028" type="#_x0000_t75" style="width:19.8pt;height:15pt" o:ole="">
                  <v:imagedata r:id="rId5" o:title=""/>
                </v:shape>
                <o:OLEObject Type="Embed" ProgID="Equation.DSMT4" ShapeID="_x0000_i1028" DrawAspect="Content" ObjectID="_1794063822" r:id="rId10"/>
              </w:object>
            </w:r>
            <w:r w:rsidRPr="00DF7C2C">
              <w:rPr>
                <w:rFonts w:cstheme="minorHAnsi"/>
              </w:rPr>
              <w:t xml:space="preserve">. Limiti i funksionit me  </w:t>
            </w:r>
            <w:r w:rsidRPr="00DF7C2C">
              <w:rPr>
                <w:rFonts w:cstheme="minorHAnsi"/>
                <w:position w:val="-6"/>
              </w:rPr>
              <w:object w:dxaOrig="260" w:dyaOrig="220">
                <v:shape id="_x0000_i1029" type="#_x0000_t75" style="width:12.6pt;height:10.8pt" o:ole="">
                  <v:imagedata r:id="rId8" o:title=""/>
                </v:shape>
                <o:OLEObject Type="Embed" ProgID="Equation.DSMT4" ShapeID="_x0000_i1029" DrawAspect="Content" ObjectID="_1794063823" r:id="rId11"/>
              </w:object>
            </w:r>
            <w:r w:rsidRPr="00DF7C2C">
              <w:rPr>
                <w:rFonts w:cstheme="minorHAnsi"/>
              </w:rPr>
              <w:t xml:space="preserve"> ndryshore.  Limitet e përsëritura. 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F7C2C">
              <w:rPr>
                <w:rFonts w:cstheme="minorHAnsi"/>
                <w:b/>
                <w:i/>
              </w:rPr>
              <w:t>Java 11</w:t>
            </w:r>
            <w:r w:rsidRPr="00DF7C2C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lang w:val="de-DE"/>
              </w:rPr>
            </w:pPr>
            <w:r w:rsidRPr="00DF7C2C">
              <w:rPr>
                <w:rFonts w:cstheme="minorHAnsi"/>
              </w:rPr>
              <w:t xml:space="preserve">Ligjëratë:   Vazhdueshmëria e funksionit me  </w:t>
            </w:r>
            <w:r w:rsidRPr="00DF7C2C">
              <w:rPr>
                <w:rFonts w:cstheme="minorHAnsi"/>
                <w:position w:val="-6"/>
              </w:rPr>
              <w:object w:dxaOrig="260" w:dyaOrig="220">
                <v:shape id="_x0000_i1030" type="#_x0000_t75" style="width:12.6pt;height:10.8pt" o:ole="">
                  <v:imagedata r:id="rId8" o:title=""/>
                </v:shape>
                <o:OLEObject Type="Embed" ProgID="Equation.DSMT4" ShapeID="_x0000_i1030" DrawAspect="Content" ObjectID="_1794063824" r:id="rId12"/>
              </w:object>
            </w:r>
            <w:r w:rsidRPr="00DF7C2C">
              <w:rPr>
                <w:rFonts w:cstheme="minorHAnsi"/>
              </w:rPr>
              <w:t xml:space="preserve"> ndryshore. Shembuj.  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F7C2C">
              <w:rPr>
                <w:rFonts w:cstheme="minorHAnsi"/>
                <w:b/>
                <w:i/>
              </w:rPr>
              <w:t>Java 12</w:t>
            </w:r>
            <w:r w:rsidRPr="00DF7C2C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</w:rPr>
            </w:pPr>
            <w:r w:rsidRPr="00DF7C2C">
              <w:rPr>
                <w:rFonts w:cstheme="minorHAnsi"/>
              </w:rPr>
              <w:t xml:space="preserve">Ligjëratë: Diferencimi i funksioneve me  </w:t>
            </w:r>
            <w:r w:rsidRPr="00DF7C2C">
              <w:rPr>
                <w:rFonts w:cstheme="minorHAnsi"/>
                <w:position w:val="-6"/>
              </w:rPr>
              <w:object w:dxaOrig="260" w:dyaOrig="220">
                <v:shape id="_x0000_i1031" type="#_x0000_t75" style="width:12.6pt;height:10.8pt" o:ole="">
                  <v:imagedata r:id="rId8" o:title=""/>
                </v:shape>
                <o:OLEObject Type="Embed" ProgID="Equation.DSMT4" ShapeID="_x0000_i1031" DrawAspect="Content" ObjectID="_1794063825" r:id="rId13"/>
              </w:object>
            </w:r>
            <w:r w:rsidRPr="00DF7C2C">
              <w:rPr>
                <w:rFonts w:cstheme="minorHAnsi"/>
              </w:rPr>
              <w:t xml:space="preserve"> ndryshore.       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F7C2C">
              <w:rPr>
                <w:rFonts w:cstheme="minorHAnsi"/>
                <w:b/>
                <w:i/>
              </w:rPr>
              <w:t>Java 13</w:t>
            </w:r>
            <w:r w:rsidRPr="00DF7C2C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DF7C2C">
              <w:rPr>
                <w:rFonts w:cstheme="minorHAnsi"/>
                <w:bCs/>
              </w:rPr>
              <w:t xml:space="preserve">Ligjëratë: </w:t>
            </w:r>
            <w:r w:rsidRPr="00DF7C2C">
              <w:rPr>
                <w:rFonts w:cstheme="minorHAnsi"/>
              </w:rPr>
              <w:t xml:space="preserve"> Derivatet dhe diferencialet e rendeve të larta. Formula e Tejlorit për funksionet me shumë ndryshore. Shembuj.</w:t>
            </w:r>
          </w:p>
          <w:p w:rsidR="00072B25" w:rsidRPr="00DF7C2C" w:rsidRDefault="00072B25" w:rsidP="00072B25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F7C2C">
              <w:rPr>
                <w:rFonts w:cstheme="minorHAnsi"/>
                <w:b/>
                <w:i/>
              </w:rPr>
              <w:t>Java 14</w:t>
            </w:r>
            <w:r w:rsidRPr="00DF7C2C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DF7C2C">
              <w:rPr>
                <w:rFonts w:cstheme="minorHAnsi"/>
                <w:bCs/>
              </w:rPr>
              <w:t xml:space="preserve">Ligjëratë: </w:t>
            </w:r>
            <w:r w:rsidRPr="00DF7C2C">
              <w:rPr>
                <w:rFonts w:cstheme="minorHAnsi"/>
              </w:rPr>
              <w:t xml:space="preserve"> Ekstremumet e funksioneve me  shume  ndryshore </w:t>
            </w:r>
            <w:r w:rsidRPr="00DF7C2C">
              <w:rPr>
                <w:rFonts w:cstheme="minorHAnsi"/>
                <w:bCs/>
              </w:rPr>
              <w:cr/>
              <w:t xml:space="preserve">  </w:t>
            </w:r>
          </w:p>
        </w:tc>
      </w:tr>
      <w:tr w:rsidR="00072B25" w:rsidRPr="00DF7C2C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F7C2C">
              <w:rPr>
                <w:rFonts w:cstheme="minorHAnsi"/>
                <w:b/>
                <w:i/>
              </w:rPr>
              <w:t>Java 15</w:t>
            </w:r>
            <w:r w:rsidRPr="00DF7C2C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B25" w:rsidRPr="00DF7C2C" w:rsidRDefault="00072B25" w:rsidP="00072B25">
            <w:pPr>
              <w:spacing w:after="0" w:line="240" w:lineRule="exact"/>
              <w:rPr>
                <w:rFonts w:cstheme="minorHAnsi"/>
                <w:bCs/>
                <w:lang w:val="de-DE"/>
              </w:rPr>
            </w:pPr>
            <w:r w:rsidRPr="00DF7C2C">
              <w:rPr>
                <w:rFonts w:cstheme="minorHAnsi"/>
              </w:rPr>
              <w:t>Ligjëratë:  Ekstremumet e kushtëzuara.</w:t>
            </w:r>
            <w:r w:rsidRPr="00DF7C2C">
              <w:rPr>
                <w:rFonts w:cstheme="minorHAnsi"/>
              </w:rPr>
              <w:tab/>
            </w:r>
            <w:r w:rsidRPr="00DF7C2C">
              <w:rPr>
                <w:rFonts w:cstheme="minorHAnsi"/>
              </w:rPr>
              <w:cr/>
              <w:t xml:space="preserve">  </w:t>
            </w:r>
          </w:p>
        </w:tc>
      </w:tr>
    </w:tbl>
    <w:p w:rsidR="00151A17" w:rsidRPr="00DF7C2C" w:rsidRDefault="00151A17" w:rsidP="00151A17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4439A" w:rsidRPr="00DF7C2C" w:rsidTr="00F4439A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F4439A" w:rsidRPr="00DF7C2C" w:rsidRDefault="00F4439A" w:rsidP="00F4439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DF7C2C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F4439A" w:rsidRPr="00DF7C2C" w:rsidTr="00F4439A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39A" w:rsidRPr="00DF7C2C" w:rsidRDefault="00F4439A" w:rsidP="00F4439A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:rsidR="00F4439A" w:rsidRPr="00DF7C2C" w:rsidRDefault="00F4439A" w:rsidP="00F4439A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DF7C2C">
              <w:rPr>
                <w:rFonts w:cstheme="minorHAnsi"/>
                <w:i/>
              </w:rPr>
              <w:t>Vijueshmëria e ligjëratave dhe ushtrimeve laboratorike është obligative.</w:t>
            </w:r>
          </w:p>
          <w:p w:rsidR="00182E7F" w:rsidRPr="00DF7C2C" w:rsidRDefault="00182E7F" w:rsidP="00F4439A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F4439A" w:rsidRPr="00DF7C2C" w:rsidRDefault="00F4439A" w:rsidP="00F4439A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F4439A" w:rsidRPr="00DF7C2C" w:rsidRDefault="00F4439A" w:rsidP="00F4439A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:rsidR="00151A17" w:rsidRPr="00DF7C2C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:rsidR="00151A17" w:rsidRPr="00DF7C2C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:rsidR="00151A17" w:rsidRPr="00DF7C2C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:rsidR="00CA2D9E" w:rsidRPr="00DF7C2C" w:rsidRDefault="00CA2D9E">
      <w:pPr>
        <w:rPr>
          <w:rFonts w:cstheme="minorHAnsi"/>
        </w:rPr>
      </w:pPr>
    </w:p>
    <w:sectPr w:rsidR="00CA2D9E" w:rsidRPr="00DF7C2C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7B3C"/>
    <w:multiLevelType w:val="hybridMultilevel"/>
    <w:tmpl w:val="1B3C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A7C2A"/>
    <w:multiLevelType w:val="hybridMultilevel"/>
    <w:tmpl w:val="6828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10209"/>
    <w:multiLevelType w:val="hybridMultilevel"/>
    <w:tmpl w:val="C8E6D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41F2C"/>
    <w:multiLevelType w:val="hybridMultilevel"/>
    <w:tmpl w:val="62F83D0A"/>
    <w:lvl w:ilvl="0" w:tplc="77A46342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40C9D"/>
    <w:multiLevelType w:val="hybridMultilevel"/>
    <w:tmpl w:val="39ACD1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72B25"/>
    <w:rsid w:val="0009622D"/>
    <w:rsid w:val="00104403"/>
    <w:rsid w:val="00105580"/>
    <w:rsid w:val="00151A17"/>
    <w:rsid w:val="00170CA1"/>
    <w:rsid w:val="001738DC"/>
    <w:rsid w:val="00182E7F"/>
    <w:rsid w:val="00193CBB"/>
    <w:rsid w:val="00294614"/>
    <w:rsid w:val="00347167"/>
    <w:rsid w:val="003A4A7F"/>
    <w:rsid w:val="003C7C9C"/>
    <w:rsid w:val="004E68F0"/>
    <w:rsid w:val="0064486E"/>
    <w:rsid w:val="006719D4"/>
    <w:rsid w:val="00694277"/>
    <w:rsid w:val="00862B57"/>
    <w:rsid w:val="00915079"/>
    <w:rsid w:val="0094163F"/>
    <w:rsid w:val="009D2765"/>
    <w:rsid w:val="00BD00CE"/>
    <w:rsid w:val="00C63590"/>
    <w:rsid w:val="00C94581"/>
    <w:rsid w:val="00CA2D9E"/>
    <w:rsid w:val="00CC4846"/>
    <w:rsid w:val="00CD6489"/>
    <w:rsid w:val="00D66C40"/>
    <w:rsid w:val="00DF7C2C"/>
    <w:rsid w:val="00EB70CC"/>
    <w:rsid w:val="00F4439A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466C6-993D-416B-B8AF-B6CDD583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hps">
    <w:name w:val="hps"/>
    <w:basedOn w:val="DefaultParagraphFont"/>
    <w:rsid w:val="00193CBB"/>
  </w:style>
  <w:style w:type="character" w:customStyle="1" w:styleId="NoSpacingChar">
    <w:name w:val="No Spacing Char"/>
    <w:basedOn w:val="DefaultParagraphFont"/>
    <w:link w:val="NoSpacing"/>
    <w:uiPriority w:val="1"/>
    <w:rsid w:val="004E68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Microsoft account</cp:lastModifiedBy>
  <cp:revision>11</cp:revision>
  <dcterms:created xsi:type="dcterms:W3CDTF">2020-02-02T12:48:00Z</dcterms:created>
  <dcterms:modified xsi:type="dcterms:W3CDTF">2024-11-25T17:17:00Z</dcterms:modified>
</cp:coreProperties>
</file>