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5263A" w14:textId="2C2DFE0C" w:rsidR="00144620" w:rsidRPr="00C1457F" w:rsidRDefault="00946F91" w:rsidP="00144620">
      <w:pPr>
        <w:keepNext/>
        <w:keepLines/>
        <w:spacing w:after="0"/>
        <w:ind w:left="-142"/>
        <w:jc w:val="both"/>
        <w:outlineLvl w:val="2"/>
        <w:rPr>
          <w:rFonts w:ascii="Times New Roman" w:eastAsia="Calibri" w:hAnsi="Times New Roman" w:cs="Times New Roman"/>
          <w:b/>
          <w:caps/>
          <w:color w:val="58715C"/>
          <w:sz w:val="24"/>
          <w:szCs w:val="24"/>
        </w:rPr>
      </w:pPr>
      <w:r w:rsidRPr="00C1457F">
        <w:rPr>
          <w:rFonts w:ascii="Times New Roman" w:hAnsi="Times New Roman" w:cs="Times New Roman"/>
          <w:b/>
          <w:color w:val="58715C"/>
          <w:sz w:val="24"/>
          <w:szCs w:val="24"/>
        </w:rPr>
        <w:t>Lënda</w:t>
      </w:r>
      <w:r w:rsidR="00144620" w:rsidRPr="00C1457F">
        <w:rPr>
          <w:rFonts w:ascii="Times New Roman" w:hAnsi="Times New Roman" w:cs="Times New Roman"/>
          <w:b/>
          <w:color w:val="58715C"/>
          <w:sz w:val="24"/>
          <w:szCs w:val="24"/>
        </w:rPr>
        <w:t xml:space="preserve">: </w:t>
      </w:r>
      <w:r w:rsidR="00144620" w:rsidRPr="00C1457F">
        <w:rPr>
          <w:rFonts w:ascii="Times New Roman" w:hAnsi="Times New Roman" w:cs="Times New Roman"/>
          <w:b/>
          <w:caps/>
          <w:color w:val="58715C"/>
          <w:sz w:val="24"/>
          <w:szCs w:val="24"/>
        </w:rPr>
        <w:t xml:space="preserve">Gjuha Ballkanike për </w:t>
      </w:r>
      <w:r w:rsidR="00354F4F" w:rsidRPr="00C1457F">
        <w:rPr>
          <w:rFonts w:ascii="Times New Roman" w:hAnsi="Times New Roman" w:cs="Times New Roman"/>
          <w:b/>
          <w:caps/>
          <w:color w:val="58715C"/>
          <w:sz w:val="24"/>
          <w:szCs w:val="24"/>
        </w:rPr>
        <w:t xml:space="preserve">NEVOJA </w:t>
      </w:r>
      <w:r w:rsidR="00144620" w:rsidRPr="00C1457F">
        <w:rPr>
          <w:rFonts w:ascii="Times New Roman" w:hAnsi="Times New Roman" w:cs="Times New Roman"/>
          <w:b/>
          <w:caps/>
          <w:color w:val="58715C"/>
          <w:sz w:val="24"/>
          <w:szCs w:val="24"/>
        </w:rPr>
        <w:t>specifike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144620" w:rsidRPr="00C1457F" w14:paraId="2DE4BF21" w14:textId="77777777" w:rsidTr="00A87240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3885E3A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 bazike mbi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193CB22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4620" w:rsidRPr="00C1457F" w14:paraId="22E83F46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851E6B" w14:textId="77777777" w:rsidR="00144620" w:rsidRPr="00C1457F" w:rsidRDefault="00144620" w:rsidP="00144620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CC902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4620" w:rsidRPr="00C1457F" w14:paraId="5B35968A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D0297C" w14:textId="77777777" w:rsidR="00144620" w:rsidRPr="00C1457F" w:rsidRDefault="00144620" w:rsidP="00144620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D457B5" w14:textId="1BC0DE2B" w:rsidR="00144620" w:rsidRPr="00C1457F" w:rsidRDefault="001D0323" w:rsidP="00946F91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Gjuha </w:t>
            </w:r>
            <w:r w:rsidR="00946F91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allkanike për </w:t>
            </w:r>
            <w:r w:rsidR="00354F4F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nevoja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specifike</w:t>
            </w:r>
          </w:p>
        </w:tc>
      </w:tr>
      <w:tr w:rsidR="00144620" w:rsidRPr="00C1457F" w14:paraId="695807D7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DD1988" w14:textId="77777777" w:rsidR="00144620" w:rsidRPr="00C1457F" w:rsidRDefault="00144620" w:rsidP="00144620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293161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144620" w:rsidRPr="00C1457F" w14:paraId="6FDD8F1A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31A662" w14:textId="77777777" w:rsidR="00144620" w:rsidRPr="00C1457F" w:rsidRDefault="00144620" w:rsidP="00144620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14B" w14:textId="67008821" w:rsidR="00144620" w:rsidRPr="00C1457F" w:rsidRDefault="00C20495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Zgjedhore</w:t>
            </w:r>
          </w:p>
        </w:tc>
      </w:tr>
      <w:tr w:rsidR="00144620" w:rsidRPr="00C1457F" w14:paraId="5862A6FF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C7D5E1" w14:textId="77777777" w:rsidR="00144620" w:rsidRPr="00C1457F" w:rsidRDefault="00144620" w:rsidP="00144620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 i studimit: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64CEEA" w14:textId="6507E1B3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 II | Semestri I</w:t>
            </w:r>
            <w:r w:rsidR="00E22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946F91" w:rsidRPr="00C1457F" w14:paraId="63C771E2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AD631F" w14:textId="7FF6EA8F" w:rsidR="00946F91" w:rsidRPr="00C1457F" w:rsidRDefault="00946F91" w:rsidP="00946F9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C077FA" w14:textId="4A007E81" w:rsidR="00946F91" w:rsidRPr="00C1457F" w:rsidRDefault="00140937" w:rsidP="00946F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+0</w:t>
            </w:r>
          </w:p>
        </w:tc>
      </w:tr>
      <w:tr w:rsidR="00946F91" w:rsidRPr="00C1457F" w14:paraId="47EE3839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68D08D" w14:textId="6ADC0D42" w:rsidR="00946F91" w:rsidRPr="00C1457F" w:rsidRDefault="00946F91" w:rsidP="00946F9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15AF2D" w14:textId="7A23384C" w:rsidR="00946F91" w:rsidRPr="00C1457F" w:rsidRDefault="00C20495" w:rsidP="00946F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46F91" w:rsidRPr="00C1457F" w14:paraId="660016D1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EFCB9C" w14:textId="63EA0A14" w:rsidR="00946F91" w:rsidRPr="00C1457F" w:rsidRDefault="00946F91" w:rsidP="00946F9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Koha/vendi: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62DE89" w14:textId="70ACF0DB" w:rsidR="00946F91" w:rsidRPr="00C1457F" w:rsidRDefault="008E5497" w:rsidP="00946F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Departamenti i Ballkanistikës/ Sipas orarit</w:t>
            </w:r>
          </w:p>
        </w:tc>
      </w:tr>
      <w:tr w:rsidR="00946F91" w:rsidRPr="00C1457F" w14:paraId="0D36DAD0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784318" w14:textId="0028FE93" w:rsidR="00946F91" w:rsidRPr="00C1457F" w:rsidRDefault="00946F91" w:rsidP="00946F9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Ligjërues/e i/e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B2AA2A" w14:textId="44F9276A" w:rsidR="00946F91" w:rsidRPr="00C1457F" w:rsidRDefault="008E5497" w:rsidP="00946F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Bahri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Koskoviku</w:t>
            </w:r>
            <w:proofErr w:type="spellEnd"/>
          </w:p>
        </w:tc>
      </w:tr>
      <w:tr w:rsidR="00946F91" w:rsidRPr="00C1457F" w14:paraId="0582E5D7" w14:textId="77777777" w:rsidTr="00A87240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7510F7" w14:textId="0345F31D" w:rsidR="00946F91" w:rsidRPr="00C1457F" w:rsidRDefault="00946F91" w:rsidP="00946F9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Informata kontakti: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189E70" w14:textId="1B09A26B" w:rsidR="00946F91" w:rsidRPr="00C1457F" w:rsidRDefault="00D538D1" w:rsidP="00946F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bahri</w:t>
            </w:r>
            <w:r w:rsidR="006B1F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.koskoviku@uni-pr.edu</w:t>
            </w:r>
          </w:p>
        </w:tc>
      </w:tr>
      <w:tr w:rsidR="00946F91" w:rsidRPr="00C1457F" w14:paraId="3817ECAC" w14:textId="77777777" w:rsidTr="00A87240">
        <w:trPr>
          <w:trHeight w:val="701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B81099" w14:textId="7DC36FF5" w:rsidR="00946F91" w:rsidRPr="00C1457F" w:rsidRDefault="00946F91" w:rsidP="00946F91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617D7C" w14:textId="0B4A2024" w:rsidR="00946F91" w:rsidRPr="00C1457F" w:rsidRDefault="00946F91" w:rsidP="0082743A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Rritja e 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numrit të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profesioneve të ndryshme që kërkojnë njohuri të lartë të gjuhës së huaj, jo vetëm sipas standardeve të CEFR, por 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edhe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njohuri të gjuhës për përdorim 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 profile të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specializuar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kanë bërë që fusha e mësimit të gjuhës së huaj për qëllime specifike të jetë një nga fushat me rritjen më të shpejtë brenda 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kornizave të nxënies së një gjuhe të dytë (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L2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në ditët e sotme. Gjuha BSKM për qëllime specifike është lëndë që mund të modifikohet në përputhje me dëshirat e studentëve 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për t’i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përmbush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nevojat e tyre specifike, por kryesisht është krijuar si BSKM për qëllime akademike ose BSKM për</w:t>
            </w:r>
            <w:r w:rsidR="000A5202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stafin administrativ. Përveç përsëritjes s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ë asaj që ofrohet në kurse gramatikore dhe kurse të gjuhëve të huaja (A2 dhe B1), kjo lëndë përqendrohet në të mësuarit e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leksikut specifik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 lidhe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me secilin nga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këto profesione,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mësimin e i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dioma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dhe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frazeologjizmave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që lidhen me një profesion specifik (gjuhësor akademik ose administrativ) dhe i kushton vëmendje të veçantë përkthimit nga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gjuha shqipe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në BSKM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dhe anasjelltas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materialeve që kanë të bëjnë me temat akademike gjuhësore ose administrative.</w:t>
            </w:r>
          </w:p>
        </w:tc>
      </w:tr>
      <w:tr w:rsidR="00144620" w:rsidRPr="00C1457F" w14:paraId="22456868" w14:textId="77777777" w:rsidTr="00A87240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8DF415A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7DADC61" w14:textId="6BAD997F" w:rsidR="00144620" w:rsidRPr="00C1457F" w:rsidRDefault="00144620" w:rsidP="0082743A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Qëllimi kryesor i kësaj lënde është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që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t’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ndihmojë studentë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të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fitojnë shkathtësi gjuhësore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të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një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folësi të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nivelit të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ndërmjetëm në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fushën e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profesioneve akademike (gjuhësore) ose administrative. Qëllimi i kësaj lënde është përvetësimi i leksikut, idiomave,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frazeologjizmave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të kupt</w:t>
            </w:r>
            <w:r w:rsidR="00CA6A7C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arit e modeleve të regjistrit akademik dhe administrativ, si dhe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praktikimi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përkthimit 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 gjuha shqipe në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BSKM</w:t>
            </w:r>
            <w:r w:rsidR="0082743A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anasjelltas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qëllim të mësimit të terminologjisë specifike profesionale.</w:t>
            </w:r>
          </w:p>
        </w:tc>
      </w:tr>
    </w:tbl>
    <w:p w14:paraId="5BC3184D" w14:textId="77777777" w:rsidR="00144620" w:rsidRPr="00C1457F" w:rsidRDefault="00144620" w:rsidP="00144620">
      <w:pPr>
        <w:spacing w:after="0"/>
        <w:ind w:left="-718" w:right="1118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86"/>
        <w:gridCol w:w="1988"/>
        <w:gridCol w:w="334"/>
        <w:gridCol w:w="3396"/>
        <w:gridCol w:w="1626"/>
      </w:tblGrid>
      <w:tr w:rsidR="00144620" w:rsidRPr="00C1457F" w14:paraId="0DE394F4" w14:textId="77777777" w:rsidTr="00A87240">
        <w:trPr>
          <w:trHeight w:val="628"/>
        </w:trPr>
        <w:tc>
          <w:tcPr>
            <w:tcW w:w="5174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88167D" w14:textId="0AD8ECA6" w:rsidR="00144620" w:rsidRPr="00C1457F" w:rsidRDefault="00144620" w:rsidP="003130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Rezultatet e pritura të </w:t>
            </w:r>
            <w:r w:rsidR="00313034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 nxënit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5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D3B56B" w14:textId="5B66308C" w:rsidR="00144620" w:rsidRPr="00C1457F" w:rsidRDefault="00B405F9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 rastin e përfundimit të kësaj lënde, pritet që studentët të jenë në gjendje:</w:t>
            </w:r>
          </w:p>
        </w:tc>
      </w:tr>
      <w:tr w:rsidR="00144620" w:rsidRPr="00C1457F" w14:paraId="60CDE635" w14:textId="77777777" w:rsidTr="00A87240">
        <w:trPr>
          <w:trHeight w:val="628"/>
        </w:trPr>
        <w:tc>
          <w:tcPr>
            <w:tcW w:w="517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D60844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07F850" w14:textId="100448D3" w:rsidR="00144620" w:rsidRPr="00C1457F" w:rsidRDefault="000D7262" w:rsidP="00CA6A7C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43A"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kuptojnë pikat kryesore të </w:t>
            </w:r>
            <w:proofErr w:type="spellStart"/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inputit</w:t>
            </w:r>
            <w:proofErr w:type="spellEnd"/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të qartë standard </w:t>
            </w:r>
            <w:r w:rsidR="00CA6A7C" w:rsidRPr="00C1457F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çështje të njohura që hasen rregullisht në diskurs akademik ose administrativ;</w:t>
            </w:r>
          </w:p>
        </w:tc>
      </w:tr>
      <w:tr w:rsidR="00144620" w:rsidRPr="00C1457F" w14:paraId="5AA80697" w14:textId="77777777" w:rsidTr="00A87240">
        <w:trPr>
          <w:trHeight w:val="340"/>
        </w:trPr>
        <w:tc>
          <w:tcPr>
            <w:tcW w:w="517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6057497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56AFEE" w14:textId="2534A49F" w:rsidR="00144620" w:rsidRPr="00C1457F" w:rsidRDefault="008448CA" w:rsidP="00CA6A7C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- Të kuptojnë shprehjet dhe fjalët që paraqiten me shpeshtësi të madhe në fushën akademike ose administrative;</w:t>
            </w:r>
          </w:p>
        </w:tc>
      </w:tr>
      <w:tr w:rsidR="00144620" w:rsidRPr="00C1457F" w14:paraId="5EA6FB09" w14:textId="77777777" w:rsidTr="00A87240">
        <w:trPr>
          <w:trHeight w:val="628"/>
        </w:trPr>
        <w:tc>
          <w:tcPr>
            <w:tcW w:w="517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B11B37B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1F73B6" w14:textId="6F9C1F5B" w:rsidR="00144620" w:rsidRPr="00C1457F" w:rsidRDefault="008448CA" w:rsidP="00CA6A7C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-Të prodhojnë tekste të </w:t>
            </w:r>
            <w:proofErr w:type="spellStart"/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konsoliduara</w:t>
            </w:r>
            <w:proofErr w:type="spellEnd"/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lidhur me çështje akademike ose administrative;</w:t>
            </w:r>
          </w:p>
        </w:tc>
      </w:tr>
      <w:tr w:rsidR="00144620" w:rsidRPr="00C1457F" w14:paraId="4DF8869E" w14:textId="77777777" w:rsidTr="00A87240">
        <w:trPr>
          <w:trHeight w:val="628"/>
        </w:trPr>
        <w:tc>
          <w:tcPr>
            <w:tcW w:w="517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6F97417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E77ECE" w14:textId="2EAC99E1" w:rsidR="00144620" w:rsidRPr="00C1457F" w:rsidRDefault="000D7262" w:rsidP="00144620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6A7C"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kenë një repertor të gjuhës që u mundëson atyre të merren me terminologjinë akademike ose administrative;</w:t>
            </w:r>
          </w:p>
        </w:tc>
      </w:tr>
      <w:tr w:rsidR="00144620" w:rsidRPr="00C1457F" w14:paraId="4F757C5D" w14:textId="77777777" w:rsidTr="00A87240">
        <w:trPr>
          <w:trHeight w:val="628"/>
        </w:trPr>
        <w:tc>
          <w:tcPr>
            <w:tcW w:w="517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25136E3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ACF5ED" w14:textId="77777777" w:rsidR="00CA6A7C" w:rsidRPr="00C1457F" w:rsidRDefault="000D7262" w:rsidP="00CA6A7C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6A7C"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përkthejnë tekste të thjeshta akademike/</w:t>
            </w:r>
          </w:p>
          <w:p w14:paraId="10B373FD" w14:textId="516352F3" w:rsidR="00144620" w:rsidRPr="00C1457F" w:rsidRDefault="000D7262" w:rsidP="00CA6A7C">
            <w:pPr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administrative nga </w:t>
            </w:r>
            <w:r w:rsidR="00CA6A7C" w:rsidRPr="00C1457F">
              <w:rPr>
                <w:rFonts w:ascii="Times New Roman" w:hAnsi="Times New Roman" w:cs="Times New Roman"/>
                <w:sz w:val="24"/>
                <w:szCs w:val="24"/>
              </w:rPr>
              <w:t>gjuha shqipe në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BSKM</w:t>
            </w:r>
            <w:r w:rsidR="00CA6A7C"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dhe anasjelltas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44620" w:rsidRPr="00C1457F" w14:paraId="1AE2CA6C" w14:textId="77777777" w:rsidTr="00144620">
        <w:trPr>
          <w:trHeight w:val="689"/>
        </w:trPr>
        <w:tc>
          <w:tcPr>
            <w:tcW w:w="5174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930D240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10FED29F" w14:textId="43A862A4" w:rsidR="00144620" w:rsidRPr="00C1457F" w:rsidRDefault="000D7262" w:rsidP="0014462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6A7C"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shkruajnë në mënyrë të pavarur tekste më të gjata që lidhen me qëllime akademike ose administrative.</w:t>
            </w:r>
          </w:p>
        </w:tc>
      </w:tr>
      <w:tr w:rsidR="00144620" w:rsidRPr="00C1457F" w14:paraId="0F16DA26" w14:textId="77777777" w:rsidTr="00A87240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147806E" w14:textId="24B3AC2A" w:rsidR="00144620" w:rsidRPr="00C1457F" w:rsidRDefault="00313034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Hlk130304305"/>
            <w:r w:rsidRPr="00C1457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Ngarkesa e punës së studentëve (e cila duhet të korrespondojë me rezultatet e të nxënit)</w:t>
            </w:r>
          </w:p>
        </w:tc>
      </w:tr>
      <w:tr w:rsidR="00144620" w:rsidRPr="00C1457F" w14:paraId="7A920155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BBA3A4" w14:textId="77777777" w:rsidR="00144620" w:rsidRPr="00C1457F" w:rsidRDefault="00144620" w:rsidP="00144620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Aktiviteti </w:t>
            </w:r>
          </w:p>
        </w:tc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81C17E" w14:textId="0DFF4DE7" w:rsidR="00144620" w:rsidRPr="00C1457F" w:rsidRDefault="00144620" w:rsidP="00313034">
            <w:pPr>
              <w:tabs>
                <w:tab w:val="center" w:pos="696"/>
                <w:tab w:val="center" w:pos="2303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Orë </w:t>
            </w:r>
            <w:r w:rsidR="00313034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mësimore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Ditë/javë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BE8BC71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Gjithsej</w:t>
            </w:r>
          </w:p>
        </w:tc>
      </w:tr>
      <w:tr w:rsidR="00D72285" w:rsidRPr="00C1457F" w14:paraId="12C9EF6D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4A0241" w14:textId="77777777" w:rsidR="00D72285" w:rsidRPr="00C1457F" w:rsidRDefault="00D72285" w:rsidP="00D7228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Ligjërata 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08455281" w14:textId="3FCEE3DC" w:rsidR="00D72285" w:rsidRPr="00C1457F" w:rsidRDefault="001B1DEB" w:rsidP="00D72285">
            <w:pPr>
              <w:tabs>
                <w:tab w:val="center" w:pos="61"/>
                <w:tab w:val="center" w:pos="197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 </w:t>
            </w:r>
            <w:r w:rsidR="00407E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72285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C20B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2285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22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7E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67ADF00" w14:textId="7D956F01" w:rsidR="00D72285" w:rsidRPr="00C1457F" w:rsidRDefault="001B1DEB" w:rsidP="00407E73">
            <w:pPr>
              <w:spacing w:after="12" w:line="24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72285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72285" w:rsidRPr="00C1457F" w14:paraId="492CBEBC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F2D5B4" w14:textId="306FFDA3" w:rsidR="00D72285" w:rsidRPr="00C1457F" w:rsidRDefault="00D72285" w:rsidP="00D7228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Punë praktike/Ushtrime 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69FD4191" w14:textId="12FF91A9" w:rsidR="00D72285" w:rsidRPr="00C1457F" w:rsidRDefault="00D72285" w:rsidP="00D72285">
            <w:pPr>
              <w:tabs>
                <w:tab w:val="center" w:pos="61"/>
                <w:tab w:val="center" w:pos="197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C93616" w14:textId="58A30C49" w:rsidR="00D72285" w:rsidRPr="00C1457F" w:rsidRDefault="00D72285" w:rsidP="00B82549">
            <w:pPr>
              <w:spacing w:after="12" w:line="24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D72285" w:rsidRPr="00C1457F" w14:paraId="7B11AD7F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9E1CD8" w14:textId="3DAED104" w:rsidR="00D72285" w:rsidRPr="00C1457F" w:rsidRDefault="00D72285" w:rsidP="00D72285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Përgatitja për provimin semestral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50C56F8C" w14:textId="79F4B1C8" w:rsidR="00D72285" w:rsidRPr="00C1457F" w:rsidRDefault="00D72285" w:rsidP="00D72285">
            <w:pPr>
              <w:tabs>
                <w:tab w:val="center" w:pos="62"/>
                <w:tab w:val="center" w:pos="197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                      </w:t>
            </w:r>
            <w:r w:rsidR="004C20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B825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07E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A1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4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5528F9" w14:textId="2796F58B" w:rsidR="00D72285" w:rsidRPr="00C1457F" w:rsidRDefault="005A1D89" w:rsidP="005A1D89">
            <w:pPr>
              <w:spacing w:after="12" w:line="248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C20B9" w:rsidRPr="00C1457F" w14:paraId="0BCFDDCA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D66C07" w14:textId="4BDF87BB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Konsultime 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3BFB0024" w14:textId="27C98897" w:rsidR="004C20B9" w:rsidRDefault="00F52700" w:rsidP="004C20B9">
            <w:pPr>
              <w:tabs>
                <w:tab w:val="center" w:pos="62"/>
                <w:tab w:val="center" w:pos="197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min 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r w:rsidR="004C20B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07E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7413661" w14:textId="74EAABFE" w:rsidR="004C20B9" w:rsidRDefault="00F52700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0B9" w:rsidRPr="00C1457F" w14:paraId="7C5D4EDA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39E78E" w14:textId="118F701B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Teste, seminare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78752DB1" w14:textId="7CA63742" w:rsidR="004C20B9" w:rsidRPr="00C1457F" w:rsidRDefault="004C20B9" w:rsidP="004C20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2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7E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66C9ED" w14:textId="5B173292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4            </w:t>
            </w:r>
          </w:p>
        </w:tc>
      </w:tr>
      <w:tr w:rsidR="004C20B9" w:rsidRPr="00C1457F" w14:paraId="6C04E8C9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3F9B30" w14:textId="534396EA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shtëpi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4B314E83" w14:textId="0FB74F64" w:rsidR="004C20B9" w:rsidRPr="00C1457F" w:rsidRDefault="004C20B9" w:rsidP="004C20B9">
            <w:pPr>
              <w:tabs>
                <w:tab w:val="center" w:pos="62"/>
                <w:tab w:val="center" w:pos="197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825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07E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97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9DDBC5" w14:textId="5328897F" w:rsidR="004C20B9" w:rsidRPr="00C1457F" w:rsidRDefault="00297064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4C20B9" w:rsidRPr="00C1457F" w14:paraId="0A6E1AD3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634728" w14:textId="6F2B8484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Studim vetanak (bibliotekë / shtëpi)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62AD7ECE" w14:textId="1F734131" w:rsidR="004C20B9" w:rsidRPr="00C1457F" w:rsidRDefault="00B82549" w:rsidP="004C20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15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E6844C" w14:textId="401B4696" w:rsidR="004C20B9" w:rsidRPr="00C1457F" w:rsidRDefault="00B8254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4C20B9" w:rsidRPr="00C1457F" w14:paraId="5851E14C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07C182" w14:textId="1E36783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Përgatitja për provimin përfundimtar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6D975C2F" w14:textId="3A996DE7" w:rsidR="004C20B9" w:rsidRPr="00C1457F" w:rsidRDefault="00B82549" w:rsidP="004C20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0B9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3E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B86D9C" w14:textId="18C93037" w:rsidR="004C20B9" w:rsidRPr="00C1457F" w:rsidRDefault="001A3E72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0B9" w:rsidRPr="00C1457F" w14:paraId="64B67D8A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3D0277" w14:textId="2AAE9B9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Koha e vlerësimit (test,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kuiz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provim përfundimtar)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3794719D" w14:textId="4CF9E6E0" w:rsidR="004C20B9" w:rsidRPr="00C1457F" w:rsidRDefault="004C20B9" w:rsidP="004C20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 </w:t>
            </w:r>
            <w:r w:rsidR="00B82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="00F52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D75A78" w14:textId="69B5AEA0" w:rsidR="004C20B9" w:rsidRPr="00C1457F" w:rsidRDefault="00407E73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0B9" w:rsidRPr="00C1457F" w14:paraId="6C477C9C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FB1011" w14:textId="0793BFE2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Projekte, prezantime, etj.</w:t>
            </w:r>
          </w:p>
        </w:tc>
        <w:tc>
          <w:tcPr>
            <w:tcW w:w="339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DFDDCB"/>
          </w:tcPr>
          <w:p w14:paraId="05A43C76" w14:textId="3C848ACA" w:rsidR="004C20B9" w:rsidRPr="00C1457F" w:rsidRDefault="004C20B9" w:rsidP="004C20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7F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B03E02" w14:textId="43CD2918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0B9" w:rsidRPr="00C1457F" w14:paraId="07BEFE4C" w14:textId="77777777" w:rsidTr="00A87240">
        <w:trPr>
          <w:trHeight w:val="340"/>
        </w:trPr>
        <w:tc>
          <w:tcPr>
            <w:tcW w:w="550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845B1F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Gjithsej</w:t>
            </w:r>
          </w:p>
        </w:tc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A85DD9" w14:textId="2E85EC13" w:rsidR="004C20B9" w:rsidRPr="00C1457F" w:rsidRDefault="004C20B9" w:rsidP="004C20B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1106524" w14:textId="72CE41BE" w:rsidR="005C7E1A" w:rsidRPr="007F01DB" w:rsidRDefault="00917D82" w:rsidP="005C7E1A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C7E1A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210">
              <w:rPr>
                <w:rFonts w:ascii="Times New Roman" w:hAnsi="Times New Roman" w:cs="Times New Roman"/>
                <w:sz w:val="24"/>
                <w:szCs w:val="24"/>
              </w:rPr>
              <w:t>orë</w:t>
            </w:r>
          </w:p>
          <w:p w14:paraId="2D04FDDB" w14:textId="4E9D4037" w:rsidR="005C7E1A" w:rsidRPr="007F01DB" w:rsidRDefault="00917D82" w:rsidP="005C7E1A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C7E1A" w:rsidRPr="007F0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7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7E1A"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5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14:paraId="60F08F86" w14:textId="6FD90984" w:rsidR="004C20B9" w:rsidRPr="00C1457F" w:rsidRDefault="005C7E1A" w:rsidP="005C7E1A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5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F01DB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</w:tr>
      <w:bookmarkEnd w:id="0"/>
      <w:tr w:rsidR="004C20B9" w:rsidRPr="00C1457F" w14:paraId="2C2ED910" w14:textId="77777777" w:rsidTr="00A87240">
        <w:trPr>
          <w:trHeight w:val="916"/>
        </w:trPr>
        <w:tc>
          <w:tcPr>
            <w:tcW w:w="318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2E4B54" w14:textId="347BD3A1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Metodat e mësimdhënies:  </w:t>
            </w:r>
          </w:p>
        </w:tc>
        <w:tc>
          <w:tcPr>
            <w:tcW w:w="7344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C0CA551" w14:textId="4875D95F" w:rsidR="004C20B9" w:rsidRPr="00C1457F" w:rsidRDefault="004C20B9" w:rsidP="004C20B9">
            <w:pPr>
              <w:numPr>
                <w:ilvl w:val="12"/>
                <w:numId w:val="0"/>
              </w:num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Ligjërata teorike; ushtrime në klasë duke përdorur materiale të ndryshme; ligjërata praktike me asistentë - ushtrime të ndryshme interaktive; detyra individuale të shtëpisë (përkthime të teksteve akademike/administrative nga gjuha shqipe në BSKM dhe anasjelltas; ushtrime nga libri i punës; ese të shkurtra për tema akademike/administrative etj.); dëgjim i gjuhës së folur BSKM në programe të zgjedhura televizive/Internet (filma, muzikë, programe televizive edukative) ose dëgjim i folësve amtarë jashtë fakultetit si punë në terren (tema akademike/administrative); studim vetanak.</w:t>
            </w:r>
          </w:p>
        </w:tc>
      </w:tr>
      <w:tr w:rsidR="004C20B9" w:rsidRPr="00C1457F" w14:paraId="46AA379A" w14:textId="77777777" w:rsidTr="00A87240">
        <w:trPr>
          <w:trHeight w:val="1486"/>
        </w:trPr>
        <w:tc>
          <w:tcPr>
            <w:tcW w:w="318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49FCFA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Metodat e vlerësimit:</w:t>
            </w:r>
          </w:p>
        </w:tc>
        <w:tc>
          <w:tcPr>
            <w:tcW w:w="7344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7AC535" w14:textId="2F4BD9B4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Pragu për kalimin e lëndës është 60%;</w:t>
            </w:r>
          </w:p>
          <w:p w14:paraId="49EC598C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341ACB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Vijueshmëria e studentëve 30%;</w:t>
            </w:r>
          </w:p>
          <w:p w14:paraId="68F4836F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Detyrat individuale të përfunduara në klasë 10%;</w:t>
            </w:r>
          </w:p>
          <w:p w14:paraId="0763212E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Detyrat individuale të përfunduara në shtëpi 10%;</w:t>
            </w:r>
          </w:p>
          <w:p w14:paraId="00FC8BC0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nga testet 40%;</w:t>
            </w:r>
          </w:p>
          <w:p w14:paraId="7389F467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Provimi përfundimtar 10%;</w:t>
            </w:r>
          </w:p>
          <w:p w14:paraId="0E720158" w14:textId="77777777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Gjithsej 100%.</w:t>
            </w:r>
          </w:p>
        </w:tc>
      </w:tr>
      <w:tr w:rsidR="004C20B9" w:rsidRPr="00C1457F" w14:paraId="2AA295E7" w14:textId="77777777" w:rsidTr="00A87240">
        <w:trPr>
          <w:trHeight w:val="916"/>
        </w:trPr>
        <w:tc>
          <w:tcPr>
            <w:tcW w:w="318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B23F65A" w14:textId="685FEB19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 xml:space="preserve">Literatura bazë: </w:t>
            </w:r>
          </w:p>
        </w:tc>
        <w:tc>
          <w:tcPr>
            <w:tcW w:w="7344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AE8148" w14:textId="6DEC75DE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Miketić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Subotić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Jovanović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B. (2019).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Srpski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jezik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1/2/3.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Učenje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srpskog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jezika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za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civilne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službenike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na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Kosovu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[Gjuha </w:t>
            </w:r>
            <w:proofErr w:type="spellStart"/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serbe</w:t>
            </w:r>
            <w:proofErr w:type="spellEnd"/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 1/2/3. M</w:t>
            </w:r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ësimi i gjuhës serbe për nëpunësit civilë në Kosovë</w:t>
            </w:r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]</w:t>
            </w:r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Prishtinë: OSBE, ECMI (libri shkollor, libri i punës dhe libri i mësuesve, nivelet A1, A2 ose B1 në varësi të një grupi)</w:t>
            </w:r>
          </w:p>
        </w:tc>
      </w:tr>
      <w:tr w:rsidR="004C20B9" w:rsidRPr="00C1457F" w14:paraId="5B0634EF" w14:textId="77777777" w:rsidTr="00A87240">
        <w:trPr>
          <w:trHeight w:val="485"/>
        </w:trPr>
        <w:tc>
          <w:tcPr>
            <w:tcW w:w="31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5D8461" w14:textId="02EBA400" w:rsidR="004C20B9" w:rsidRPr="00C1457F" w:rsidRDefault="004C20B9" w:rsidP="004C20B9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Literatura ndihmëse:</w:t>
            </w:r>
          </w:p>
        </w:tc>
        <w:tc>
          <w:tcPr>
            <w:tcW w:w="734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EFEAEF" w14:textId="1D612F07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Bjelaković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Vojnović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J. (2013).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Naučimo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srpski</w:t>
            </w:r>
            <w:proofErr w:type="spellEnd"/>
            <w:r w:rsidRPr="00C145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 </w:t>
            </w:r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[Të mësojmë serbisht]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Novi Sad: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Univerzitet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Novom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Sadu</w:t>
            </w:r>
            <w:proofErr w:type="spellEnd"/>
          </w:p>
          <w:p w14:paraId="5C883B59" w14:textId="2C432761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Ribnikar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V.,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Norris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D. (2003). </w:t>
            </w:r>
            <w:proofErr w:type="spellStart"/>
            <w:r w:rsidRPr="00C1457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Teach</w:t>
            </w:r>
            <w:proofErr w:type="spellEnd"/>
            <w:r w:rsidRPr="00C1457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yourself</w:t>
            </w:r>
            <w:proofErr w:type="spellEnd"/>
            <w:r w:rsidRPr="00C1457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Serbian</w:t>
            </w:r>
            <w:proofErr w:type="spellEnd"/>
            <w:r w:rsidRPr="00C1457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1457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[</w:t>
            </w:r>
            <w:r w:rsidRPr="00C145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Mësojani vetes serbishten]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US: Libra Bashkëkohorë.</w:t>
            </w:r>
          </w:p>
          <w:p w14:paraId="7159A16B" w14:textId="77777777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Ajdžanović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Çerpja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Kananaj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Štrbac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G. (2017). Mali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rečnik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Fjalor i vogël: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srpsko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albanski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albansko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srpski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rečnik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Revizija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Stručna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Anila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Kananaj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Hagë: Komisionari i Lartë për Pakica Kombëtare i OSBE</w:t>
            </w:r>
          </w:p>
          <w:p w14:paraId="169268C7" w14:textId="1A953BA0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Alexander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Elias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Bursać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E. (2006). </w:t>
            </w:r>
            <w:r w:rsidRPr="00C145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Bosnian, Croatian, Serbian, a textbook with excercises and basic grammar </w:t>
            </w:r>
            <w:r w:rsidRPr="00C14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[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Boshnjakishtja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kroatishtja, serbishtja, libër shkollor me ushtrime dhe gramatikë themelore]. Shtëpia botues e Universitetit të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Wisconsin</w:t>
            </w:r>
            <w:proofErr w:type="spellEnd"/>
          </w:p>
          <w:p w14:paraId="09CA6B25" w14:textId="1D4EE773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Hawkesworth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Ćalić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J. (2006). </w:t>
            </w:r>
            <w:r w:rsidRPr="00C1457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sr-Latn-RS"/>
              </w:rPr>
              <w:t xml:space="preserve">Colloquial Serbian </w:t>
            </w:r>
            <w:r w:rsidRPr="00C145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[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Serbishtja bisedimore]</w:t>
            </w:r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London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</w:p>
          <w:p w14:paraId="357D1D8B" w14:textId="52F1FBC4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Pešikan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Jerković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Pižurica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M. (2011).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Pravopis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srpskog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jezika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[Drejtshkrimi i gjuhës serbe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]</w:t>
            </w:r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Novi Sad: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Matica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srpska</w:t>
            </w:r>
            <w:proofErr w:type="spellEnd"/>
          </w:p>
          <w:p w14:paraId="1BE332B1" w14:textId="77777777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Piper, P.,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Klajn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I. (2013).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Normativna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gramatika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srpskog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jezika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Novi Sad: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Matica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srpska</w:t>
            </w:r>
            <w:proofErr w:type="spellEnd"/>
          </w:p>
          <w:p w14:paraId="761C77EE" w14:textId="77777777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Stanojčić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Ž.,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Popović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Lj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(1992). </w:t>
            </w:r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Gramatika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srpskoga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jezika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Udžbenik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za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I, II, III i IV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razred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srednje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škole</w:t>
            </w:r>
            <w:proofErr w:type="spellEnd"/>
            <w:r w:rsidRPr="00C145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Beograd: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Zavod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udžbenike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nastavna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sredstva</w:t>
            </w:r>
            <w:proofErr w:type="spellEnd"/>
          </w:p>
          <w:p w14:paraId="5E1CA3B7" w14:textId="77777777" w:rsidR="004C20B9" w:rsidRPr="00C1457F" w:rsidRDefault="004C20B9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Tuna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E. et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(2005).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Albanski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rečnik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albansko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srpski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srpsko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albanski</w:t>
            </w:r>
            <w:proofErr w:type="spellEnd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Beograd: </w:t>
            </w:r>
            <w:proofErr w:type="spellStart"/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Jasen</w:t>
            </w:r>
            <w:proofErr w:type="spellEnd"/>
          </w:p>
          <w:p w14:paraId="30AC3F54" w14:textId="3B29D403" w:rsidR="004C20B9" w:rsidRPr="00C1457F" w:rsidRDefault="00615888" w:rsidP="004C20B9">
            <w:pPr>
              <w:numPr>
                <w:ilvl w:val="0"/>
                <w:numId w:val="1"/>
              </w:numPr>
              <w:spacing w:after="12" w:line="248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4C20B9" w:rsidRPr="00C1457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https://fjalor-recnik.com/</w:t>
              </w:r>
            </w:hyperlink>
          </w:p>
        </w:tc>
      </w:tr>
    </w:tbl>
    <w:p w14:paraId="1829903D" w14:textId="77777777" w:rsidR="00144620" w:rsidRPr="00C1457F" w:rsidRDefault="00144620" w:rsidP="00144620">
      <w:pPr>
        <w:spacing w:after="0" w:line="240" w:lineRule="auto"/>
        <w:ind w:left="10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5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144620" w:rsidRPr="00C1457F" w14:paraId="19D2692E" w14:textId="77777777" w:rsidTr="00A87240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D8F3EB8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Përmbajtja e lëndës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B65C20E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4620" w:rsidRPr="00C1457F" w14:paraId="7AD1DA16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19D83D" w14:textId="7F342892" w:rsidR="00144620" w:rsidRPr="00C1457F" w:rsidRDefault="00144620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</w:t>
            </w:r>
            <w:r w:rsidR="00D06C57"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2895D6C" w14:textId="77777777" w:rsidR="00144620" w:rsidRPr="00C1457F" w:rsidRDefault="00144620" w:rsidP="0014462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Tema e ligjëratës</w:t>
            </w:r>
          </w:p>
        </w:tc>
      </w:tr>
      <w:tr w:rsidR="00D06C57" w:rsidRPr="00C1457F" w14:paraId="12F6938A" w14:textId="77777777" w:rsidTr="00A87240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A886BC" w14:textId="0AFEFB08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1677089D" w14:textId="77777777" w:rsidR="005C3485" w:rsidRPr="005C3485" w:rsidRDefault="005C3485" w:rsidP="005C3485">
            <w:pPr>
              <w:spacing w:after="12" w:line="24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>Përshkrimi i lëndës/literaturës;</w:t>
            </w:r>
          </w:p>
          <w:p w14:paraId="6F9228BA" w14:textId="77777777" w:rsidR="005C3485" w:rsidRPr="005C3485" w:rsidRDefault="005C3485" w:rsidP="005C3485">
            <w:pPr>
              <w:spacing w:after="12" w:line="24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>Prezantimi i temës, detyrimet dhe vlerësimi i studentëve;</w:t>
            </w:r>
          </w:p>
          <w:p w14:paraId="55316287" w14:textId="77777777" w:rsidR="005C3485" w:rsidRPr="005C3485" w:rsidRDefault="005C3485" w:rsidP="005C3485">
            <w:pPr>
              <w:spacing w:after="12" w:line="24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>Informacion mbi objektivat, rezultatet e pritura nga studentët, metodat e mësimdhënies dhe vlerësimi;</w:t>
            </w:r>
          </w:p>
          <w:p w14:paraId="629DB1BA" w14:textId="77777777" w:rsidR="005C3485" w:rsidRPr="005C3485" w:rsidRDefault="005C3485" w:rsidP="005C3485">
            <w:pPr>
              <w:spacing w:after="12" w:line="24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>Pyetjet dhe rekomandimet e studentëve.</w:t>
            </w:r>
          </w:p>
          <w:p w14:paraId="3FFFBFC8" w14:textId="4428D4D5" w:rsidR="005C3485" w:rsidRDefault="005C3485" w:rsidP="005C3485">
            <w:pPr>
              <w:spacing w:after="12" w:line="248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 xml:space="preserve">Hyrje në </w:t>
            </w:r>
            <w:r w:rsidR="00202D92">
              <w:rPr>
                <w:rFonts w:ascii="Times New Roman" w:hAnsi="Times New Roman" w:cs="Times New Roman"/>
                <w:sz w:val="24"/>
                <w:szCs w:val="24"/>
              </w:rPr>
              <w:t>bazat</w:t>
            </w: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 xml:space="preserve"> teorik</w:t>
            </w:r>
            <w:r w:rsidR="00202D9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C3485">
              <w:rPr>
                <w:rFonts w:ascii="Times New Roman" w:hAnsi="Times New Roman" w:cs="Times New Roman"/>
                <w:sz w:val="24"/>
                <w:szCs w:val="24"/>
              </w:rPr>
              <w:t xml:space="preserve"> për gjuhën e dytë për qëllime specifike.</w:t>
            </w:r>
          </w:p>
          <w:p w14:paraId="5F45C72B" w14:textId="65F9C73C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C57" w:rsidRPr="00C1457F" w14:paraId="652C23FF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86E396" w14:textId="272432E3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09D5ABCA" w14:textId="38D16325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akademike: zgjerimi i fjalorit</w:t>
            </w:r>
          </w:p>
        </w:tc>
      </w:tr>
      <w:tr w:rsidR="00D06C57" w:rsidRPr="00C1457F" w14:paraId="534C53BF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6DCFA4" w14:textId="2DD95E84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34C3B6E6" w14:textId="19F8E217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akademike: zgjerimi i fjalorit - të folur</w:t>
            </w:r>
          </w:p>
        </w:tc>
      </w:tr>
      <w:tr w:rsidR="00D06C57" w:rsidRPr="00C1457F" w14:paraId="78F1B5C0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359716" w14:textId="67B222CC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4CF1F285" w14:textId="332ACAA1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akademike: zgjerimi i fjalorit - të shkruar</w:t>
            </w:r>
          </w:p>
        </w:tc>
      </w:tr>
      <w:tr w:rsidR="00D06C57" w:rsidRPr="00C1457F" w14:paraId="5B61BFEE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D673FE" w14:textId="3CFFD133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1D2CD12F" w14:textId="6DC95AE9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administrative : zgjerimi i fjalorit</w:t>
            </w:r>
          </w:p>
        </w:tc>
      </w:tr>
      <w:tr w:rsidR="00D06C57" w:rsidRPr="00C1457F" w14:paraId="6F67F481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0CEEB8" w14:textId="2F79AF07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1B2ED9D8" w14:textId="16898307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administrative: zgjerimi i fjalorit - të folur</w:t>
            </w:r>
          </w:p>
        </w:tc>
      </w:tr>
      <w:tr w:rsidR="00D06C57" w:rsidRPr="00C1457F" w14:paraId="360F62E7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1BEC2F" w14:textId="289169BF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0440692C" w14:textId="0E53F188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administrative: zgjerimi i fjalorit - të shkruar</w:t>
            </w:r>
          </w:p>
        </w:tc>
      </w:tr>
      <w:tr w:rsidR="00D06C57" w:rsidRPr="00C1457F" w14:paraId="094B0474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51FEF2" w14:textId="2B5179D1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6FAE3598" w14:textId="650363AA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Kërkimi i informacionit: tema akademike /administrative</w:t>
            </w:r>
          </w:p>
        </w:tc>
      </w:tr>
      <w:tr w:rsidR="00D06C57" w:rsidRPr="00C1457F" w14:paraId="51FCFEBE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68FEA" w14:textId="742207B5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16FBB936" w14:textId="55248120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Shkrimi i letrave/</w:t>
            </w:r>
            <w:proofErr w:type="spellStart"/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emailit</w:t>
            </w:r>
            <w:proofErr w:type="spellEnd"/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: tema akademike /administrative</w:t>
            </w:r>
          </w:p>
        </w:tc>
      </w:tr>
      <w:tr w:rsidR="00D06C57" w:rsidRPr="00C1457F" w14:paraId="109B587F" w14:textId="77777777" w:rsidTr="00A87240">
        <w:trPr>
          <w:trHeight w:val="25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C5ACB7" w14:textId="719AE945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477FE5AF" w14:textId="0BDB450F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 /administrative: përkthim nga BSKM</w:t>
            </w:r>
          </w:p>
        </w:tc>
      </w:tr>
      <w:tr w:rsidR="00D06C57" w:rsidRPr="00C1457F" w14:paraId="45EA5803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9EC585" w14:textId="4E617493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100C60CD" w14:textId="535C9000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 /administrative: përkthim nga BSKM</w:t>
            </w:r>
          </w:p>
        </w:tc>
      </w:tr>
      <w:tr w:rsidR="00D06C57" w:rsidRPr="00C1457F" w14:paraId="4F5DFFFE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3F4621" w14:textId="2B6A230E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78722E0F" w14:textId="14ED8209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 /administrative: përkthim në BSKM</w:t>
            </w:r>
          </w:p>
        </w:tc>
      </w:tr>
      <w:tr w:rsidR="00D06C57" w:rsidRPr="00C1457F" w14:paraId="4CFC25BC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328791" w14:textId="31C8D38B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0187ACC8" w14:textId="49786AF5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Tema akademike /administrative: përkthim në BSKM</w:t>
            </w:r>
          </w:p>
        </w:tc>
      </w:tr>
      <w:tr w:rsidR="00D06C57" w:rsidRPr="00C1457F" w14:paraId="1AA859FE" w14:textId="77777777" w:rsidTr="00A87240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40762B" w14:textId="3E762C37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bottom"/>
          </w:tcPr>
          <w:p w14:paraId="4401F888" w14:textId="7E73A4B3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Situata të përditshme akademike / administrative</w:t>
            </w:r>
          </w:p>
        </w:tc>
      </w:tr>
      <w:tr w:rsidR="00D06C57" w:rsidRPr="00C1457F" w14:paraId="4B10B116" w14:textId="77777777" w:rsidTr="00A87240">
        <w:trPr>
          <w:trHeight w:val="32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912C4E" w14:textId="301FA3E0" w:rsidR="00D06C57" w:rsidRPr="00C1457F" w:rsidRDefault="00D06C57" w:rsidP="00D06C57">
            <w:pPr>
              <w:spacing w:after="12" w:line="24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bottom"/>
          </w:tcPr>
          <w:p w14:paraId="275D8DAB" w14:textId="688AFF7C" w:rsidR="00D06C57" w:rsidRPr="00C1457F" w:rsidRDefault="00D06C57" w:rsidP="00D06C57">
            <w:pPr>
              <w:spacing w:after="12" w:line="248" w:lineRule="auto"/>
              <w:ind w:left="10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sz w:val="24"/>
                <w:szCs w:val="24"/>
              </w:rPr>
              <w:t>Vlerësim dhe përgatitje për provim</w:t>
            </w:r>
          </w:p>
        </w:tc>
      </w:tr>
      <w:tr w:rsidR="00144620" w:rsidRPr="00C1457F" w14:paraId="28BA56C2" w14:textId="77777777" w:rsidTr="00A87240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667C45" w14:textId="77777777" w:rsidR="00144620" w:rsidRPr="00C1457F" w:rsidRDefault="00144620" w:rsidP="0014462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Politikat akademike dhe kodi i sjelljes</w:t>
            </w:r>
          </w:p>
        </w:tc>
      </w:tr>
      <w:tr w:rsidR="00144620" w:rsidRPr="00C1457F" w14:paraId="65025B4F" w14:textId="77777777" w:rsidTr="00A87240">
        <w:trPr>
          <w:trHeight w:val="1369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9F1557" w14:textId="3FCFE29F" w:rsidR="00144620" w:rsidRPr="00C1457F" w:rsidRDefault="009E03D7" w:rsidP="0014462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 i telefonave mobilë nuk lejohet gjatë ligjëratave, si dhe për arsyen që vijimësia në ligjërata ndikon në notën përfundimtare të studentit, studentët nuk mund të hyjnë e të dalin nga klasa kur të duan.  Studentët inkurajohen të diskutojnë çështje të ndryshme që lidhen me njësinë e kryer, pa ofenduar ose diskriminuar njëri-tjetrin dhe duke respektuar mendimin e tjetrit.</w:t>
            </w:r>
          </w:p>
        </w:tc>
      </w:tr>
    </w:tbl>
    <w:p w14:paraId="2675C216" w14:textId="096E97E5" w:rsidR="00144620" w:rsidRDefault="00144620" w:rsidP="00144620">
      <w:pPr>
        <w:spacing w:after="3" w:line="248" w:lineRule="auto"/>
        <w:ind w:left="-3" w:hanging="1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0F86CED" w14:textId="77777777" w:rsidR="00C64F2C" w:rsidRPr="00C64F2C" w:rsidRDefault="00C64F2C" w:rsidP="00C64F2C">
      <w:pPr>
        <w:spacing w:after="3" w:line="248" w:lineRule="auto"/>
        <w:ind w:left="-3" w:hanging="1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4F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Raporti ndërmjet pjesës teorike dhe praktike të studimit:</w:t>
      </w:r>
    </w:p>
    <w:tbl>
      <w:tblPr>
        <w:tblStyle w:val="TableGrid0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820"/>
        <w:gridCol w:w="6787"/>
      </w:tblGrid>
      <w:tr w:rsidR="00C64F2C" w14:paraId="031B5ED2" w14:textId="6E8AC2F7" w:rsidTr="00C64F2C">
        <w:tc>
          <w:tcPr>
            <w:tcW w:w="2820" w:type="dxa"/>
          </w:tcPr>
          <w:p w14:paraId="41EED983" w14:textId="64992332" w:rsidR="00C64F2C" w:rsidRPr="003929CE" w:rsidRDefault="00C64F2C" w:rsidP="00C64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9CE">
              <w:rPr>
                <w:rFonts w:ascii="Times New Roman" w:hAnsi="Times New Roman" w:cs="Times New Roman"/>
                <w:b/>
                <w:sz w:val="24"/>
                <w:szCs w:val="24"/>
              </w:rPr>
              <w:t>Pjesa teorike</w:t>
            </w:r>
          </w:p>
        </w:tc>
        <w:tc>
          <w:tcPr>
            <w:tcW w:w="6787" w:type="dxa"/>
          </w:tcPr>
          <w:p w14:paraId="5C667B63" w14:textId="3E5B1042" w:rsidR="00C64F2C" w:rsidRPr="003929CE" w:rsidRDefault="00C64F2C" w:rsidP="00C64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3929CE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</w:tr>
      <w:tr w:rsidR="00C64F2C" w14:paraId="4D895440" w14:textId="195F8118" w:rsidTr="00C64F2C">
        <w:tc>
          <w:tcPr>
            <w:tcW w:w="2820" w:type="dxa"/>
          </w:tcPr>
          <w:p w14:paraId="4C1144CD" w14:textId="3F148AE5" w:rsidR="00C64F2C" w:rsidRPr="003929CE" w:rsidRDefault="00C64F2C" w:rsidP="00C64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9CE">
              <w:rPr>
                <w:rFonts w:ascii="Times New Roman" w:hAnsi="Times New Roman" w:cs="Times New Roman"/>
                <w:b/>
                <w:sz w:val="24"/>
                <w:szCs w:val="24"/>
              </w:rPr>
              <w:t>Pjesa praktike</w:t>
            </w:r>
          </w:p>
        </w:tc>
        <w:tc>
          <w:tcPr>
            <w:tcW w:w="6787" w:type="dxa"/>
          </w:tcPr>
          <w:p w14:paraId="7FE82A9D" w14:textId="79794296" w:rsidR="00C64F2C" w:rsidRPr="003929CE" w:rsidRDefault="00C64F2C" w:rsidP="00C64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3929CE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</w:tbl>
    <w:p w14:paraId="72C5D39A" w14:textId="77777777" w:rsidR="00C64F2C" w:rsidRPr="00C1457F" w:rsidRDefault="00C64F2C" w:rsidP="00144620">
      <w:pPr>
        <w:spacing w:after="3" w:line="248" w:lineRule="auto"/>
        <w:ind w:left="-3" w:hanging="1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A39E69" w14:textId="77777777" w:rsidR="00144620" w:rsidRPr="00C1457F" w:rsidRDefault="00144620" w:rsidP="00144620">
      <w:pPr>
        <w:spacing w:after="12" w:line="248" w:lineRule="auto"/>
        <w:ind w:left="10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00E282" w14:textId="77777777" w:rsidR="00144620" w:rsidRPr="00C1457F" w:rsidRDefault="00144620" w:rsidP="00144620">
      <w:pPr>
        <w:rPr>
          <w:rFonts w:ascii="Times New Roman" w:hAnsi="Times New Roman" w:cs="Times New Roman"/>
          <w:sz w:val="24"/>
          <w:szCs w:val="24"/>
        </w:rPr>
      </w:pPr>
    </w:p>
    <w:p w14:paraId="58F3DB41" w14:textId="77777777" w:rsidR="00452E27" w:rsidRPr="00C1457F" w:rsidRDefault="00452E2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52E27" w:rsidRPr="00C1457F" w:rsidSect="00417415">
      <w:footerReference w:type="default" r:id="rId8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6AB5" w14:textId="77777777" w:rsidR="00615888" w:rsidRDefault="00615888">
      <w:pPr>
        <w:spacing w:after="0" w:line="240" w:lineRule="auto"/>
      </w:pPr>
      <w:r>
        <w:separator/>
      </w:r>
    </w:p>
  </w:endnote>
  <w:endnote w:type="continuationSeparator" w:id="0">
    <w:p w14:paraId="5138D904" w14:textId="77777777" w:rsidR="00615888" w:rsidRDefault="0061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FE7030" w14:textId="351B6317" w:rsidR="00F33383" w:rsidRDefault="00144620">
            <w:pPr>
              <w:pStyle w:val="Footer"/>
              <w:jc w:val="center"/>
            </w:pPr>
            <w:r>
              <w:t xml:space="preserve">Faqe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929C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nga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929C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22CEE8" w14:textId="77777777" w:rsidR="00F33383" w:rsidRDefault="0061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EFF5" w14:textId="77777777" w:rsidR="00615888" w:rsidRDefault="00615888">
      <w:pPr>
        <w:spacing w:after="0" w:line="240" w:lineRule="auto"/>
      </w:pPr>
      <w:r>
        <w:separator/>
      </w:r>
    </w:p>
  </w:footnote>
  <w:footnote w:type="continuationSeparator" w:id="0">
    <w:p w14:paraId="43776861" w14:textId="77777777" w:rsidR="00615888" w:rsidRDefault="0061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41FC6"/>
    <w:multiLevelType w:val="hybridMultilevel"/>
    <w:tmpl w:val="7C204FE0"/>
    <w:lvl w:ilvl="0" w:tplc="C8306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MjYxNLSwNDA1NjVW0lEKTi0uzszPAykwrQUARAeB4CwAAAA="/>
  </w:docVars>
  <w:rsids>
    <w:rsidRoot w:val="00144620"/>
    <w:rsid w:val="00010B1E"/>
    <w:rsid w:val="00045AE8"/>
    <w:rsid w:val="00062FB9"/>
    <w:rsid w:val="000A5202"/>
    <w:rsid w:val="000D7262"/>
    <w:rsid w:val="0011635E"/>
    <w:rsid w:val="00127951"/>
    <w:rsid w:val="00140937"/>
    <w:rsid w:val="00144620"/>
    <w:rsid w:val="001A2F6C"/>
    <w:rsid w:val="001A3E72"/>
    <w:rsid w:val="001B1DEB"/>
    <w:rsid w:val="001D0323"/>
    <w:rsid w:val="001F3210"/>
    <w:rsid w:val="00202D92"/>
    <w:rsid w:val="00285138"/>
    <w:rsid w:val="00297064"/>
    <w:rsid w:val="002D24AD"/>
    <w:rsid w:val="002D281C"/>
    <w:rsid w:val="002E0DDF"/>
    <w:rsid w:val="002E3A31"/>
    <w:rsid w:val="00313034"/>
    <w:rsid w:val="00345EAA"/>
    <w:rsid w:val="00354F4F"/>
    <w:rsid w:val="003929CE"/>
    <w:rsid w:val="003B2BFB"/>
    <w:rsid w:val="003C6C73"/>
    <w:rsid w:val="003D5811"/>
    <w:rsid w:val="00407E73"/>
    <w:rsid w:val="00446A76"/>
    <w:rsid w:val="00452E27"/>
    <w:rsid w:val="00467943"/>
    <w:rsid w:val="00491DF2"/>
    <w:rsid w:val="004C20B9"/>
    <w:rsid w:val="00533BDF"/>
    <w:rsid w:val="005440B0"/>
    <w:rsid w:val="0057372B"/>
    <w:rsid w:val="005A1D89"/>
    <w:rsid w:val="005C3485"/>
    <w:rsid w:val="005C7E1A"/>
    <w:rsid w:val="005D0D32"/>
    <w:rsid w:val="005E1D5C"/>
    <w:rsid w:val="00615888"/>
    <w:rsid w:val="006764B7"/>
    <w:rsid w:val="006921C4"/>
    <w:rsid w:val="006B1F29"/>
    <w:rsid w:val="006F03C8"/>
    <w:rsid w:val="00722765"/>
    <w:rsid w:val="00774D78"/>
    <w:rsid w:val="0082743A"/>
    <w:rsid w:val="00842A9C"/>
    <w:rsid w:val="008448CA"/>
    <w:rsid w:val="008C0B72"/>
    <w:rsid w:val="008E5497"/>
    <w:rsid w:val="00913E10"/>
    <w:rsid w:val="00917D82"/>
    <w:rsid w:val="00946F91"/>
    <w:rsid w:val="009E03D7"/>
    <w:rsid w:val="00A367C1"/>
    <w:rsid w:val="00AA5D7A"/>
    <w:rsid w:val="00B405F9"/>
    <w:rsid w:val="00B82549"/>
    <w:rsid w:val="00C1457F"/>
    <w:rsid w:val="00C20495"/>
    <w:rsid w:val="00C64F2C"/>
    <w:rsid w:val="00CA6A7C"/>
    <w:rsid w:val="00CC543F"/>
    <w:rsid w:val="00D06C57"/>
    <w:rsid w:val="00D16A51"/>
    <w:rsid w:val="00D538D1"/>
    <w:rsid w:val="00D72285"/>
    <w:rsid w:val="00DF7687"/>
    <w:rsid w:val="00E00991"/>
    <w:rsid w:val="00E22428"/>
    <w:rsid w:val="00EB2477"/>
    <w:rsid w:val="00F42B78"/>
    <w:rsid w:val="00F52700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ED11"/>
  <w15:chartTrackingRefBased/>
  <w15:docId w15:val="{12365014-51A8-4393-8F28-9A27329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620"/>
  </w:style>
  <w:style w:type="table" w:customStyle="1" w:styleId="TableGrid">
    <w:name w:val="TableGrid"/>
    <w:rsid w:val="0014462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46A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A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6A7C"/>
    <w:pPr>
      <w:ind w:left="720"/>
      <w:contextualSpacing/>
    </w:pPr>
  </w:style>
  <w:style w:type="table" w:styleId="TableGrid0">
    <w:name w:val="Table Grid"/>
    <w:basedOn w:val="TableNormal"/>
    <w:uiPriority w:val="39"/>
    <w:rsid w:val="00C6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jalor-recni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17</cp:revision>
  <dcterms:created xsi:type="dcterms:W3CDTF">2025-01-23T12:55:00Z</dcterms:created>
  <dcterms:modified xsi:type="dcterms:W3CDTF">2025-03-19T15:15:00Z</dcterms:modified>
</cp:coreProperties>
</file>