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7"/>
        <w:gridCol w:w="1425"/>
        <w:gridCol w:w="2038"/>
        <w:gridCol w:w="2145"/>
        <w:tblGridChange w:id="0">
          <w:tblGrid>
            <w:gridCol w:w="3617"/>
            <w:gridCol w:w="1425"/>
            <w:gridCol w:w="2038"/>
            <w:gridCol w:w="214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Të dhëna bazike të lëndës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Njësia akademike: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Fakulteti Filozofik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Titulli 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B">
            <w:pPr>
              <w:shd w:fill="ffffff" w:val="clea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Avokimi dhe Fuqizimi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Niveli: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Statusi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Zgjedhore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Viti i studimeve: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Numri i orëve në javë: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2+2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Vlera në kredi – ECTS: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Koha / lokacioni: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Mësimëdhënësi 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As</w:t>
            </w:r>
            <w:r w:rsidDel="00000000" w:rsidR="00000000" w:rsidRPr="00000000">
              <w:rPr>
                <w:rtl w:val="0"/>
              </w:rPr>
              <w:t xml:space="preserve">s. Dr. Avdyl Gashi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Rita Selimi, Ph.D.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Detajet kontaktuese: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rPr>
                <w:rFonts w:ascii="Roboto" w:cs="Roboto" w:eastAsia="Roboto" w:hAnsi="Roboto"/>
                <w:b w:val="0"/>
                <w:bCs w:val="0"/>
                <w:color w:val="5f6368"/>
                <w:sz w:val="27"/>
                <w:szCs w:val="27"/>
                <w:vertAlign w:val="baseline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avdyl.gashi@uni-pr.edu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Përshkrimi i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Lënda </w:t>
            </w: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"Avokimi dhe Fuqizimi"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synon t'i pajisë studentët me njohuritë dhe aftësitë e nevojshme për të avokuar dhe fuqizuar në mënyrë efektive individët, grupet dhe komunitetet e margjinalizuara. Ky kurs eksploron parimet, teoritë dhe strategjitë e avokimit brenda kontekstit të praktikës së punës sociale. Studentët do të </w:t>
            </w:r>
            <w:r w:rsidDel="00000000" w:rsidR="00000000" w:rsidRPr="00000000">
              <w:rPr>
                <w:rtl w:val="0"/>
              </w:rPr>
              <w:t xml:space="preserve">kuptojnë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perspektiva</w:t>
            </w:r>
            <w:r w:rsidDel="00000000" w:rsidR="00000000" w:rsidRPr="00000000">
              <w:rPr>
                <w:rtl w:val="0"/>
              </w:rPr>
              <w:t xml:space="preserve">t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historike dhe bashkëkohore të avokimit, duke njohur rëndësinë që ka në adresimin e pabarazive sociale, promovimin e drejtësisë sociale dhe sfidimin e sistemeve shtypëse. Gjatë gjithë </w:t>
            </w:r>
            <w:r w:rsidDel="00000000" w:rsidR="00000000" w:rsidRPr="00000000">
              <w:rPr>
                <w:rtl w:val="0"/>
              </w:rPr>
              <w:t xml:space="preserve">lëndës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, studentët do të mësojnë rreth modeleve të ndryshme të avokimit, duke përfshirë qasjet individuale, grupore dhe ato të bazuara në komunitet. Theksi vihet poashtu në konceptin e fuqizimit të individëve/grupeve dhe eksplorimin e marrëdhënieve të pushtetit që vendos këto grupe në raporte shtypëse.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Qëllimet e lëndës: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color w:val="222222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Qëllimi i lëndës është të përgatisë studentët që të jenë praktikues kompetentë dhe etikë të punës sociale, të cilët janë të pajisur për t'u angazhuar në punën e avokimit dhe fuqizimit për të adresuar padrejtësitë sociale dhe për të promovuar ndryshime sociale.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Rezultatet e pritura të nxënies: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color w:val="222222"/>
                <w:vertAlign w:val="baseline"/>
              </w:rPr>
            </w:pPr>
            <w:r w:rsidDel="00000000" w:rsidR="00000000" w:rsidRPr="00000000">
              <w:rPr>
                <w:color w:val="222222"/>
                <w:vertAlign w:val="baseline"/>
                <w:rtl w:val="0"/>
              </w:rPr>
              <w:t xml:space="preserve">Deri në fund të këtij semestri, studentët do të jenë në gjendje të: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Përcaktojnë dhe artikulojnë konceptin e avokimit në kontekstin e praktikës së punës sociale.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Analizojnë dhe shqyrtojnë në mënyrë kritike pabarazitë sociale dhe padrejtësitë që prekin individët, grupet dhe komunitetet e margjinalizuara.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Kuptojnë marrëdhëniet e pushtetit në raport me pozitën dhe shtypjen sociale.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Njohin rolin e avokimit në sfidimin e sistemeve shtypëse dhe promovimin e drejtësisë sociale.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Kontributi nё ngarkesёn e studentit ( gjё qё duhet tё korrespondoj me rezultatet e tё nxёnit tё studentit)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Aktiviteti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Orë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Ditë/javë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Gjithësej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Ligjërata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javë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Ushtrime teorike/laboratorike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javë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Punë praktike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Kontaktet me mësimdhënësin/konsultimet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Ushtrime  në teren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Kollokfiume,seminare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Detyra të  shtëpisë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Koha e studimit vetanak të studentit (në bibliotekë ose në shtëpi)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Përgaditja përfundimtare për provim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Koha e kaluar në vlerësim (teste,kuiz,provim final)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Projektet,prezentimet ,etj</w:t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Totali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8cce4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Metodologjia e mësimëdhënies: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Mësimdhënësi shpjegon objektivat e mësimit studentëve përmes ligjëratave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vertAlign w:val="baseline"/>
                <w:rtl w:val="0"/>
              </w:rPr>
              <w:t xml:space="preserve"> Mësimi i kombinuar interaktiv do të përdoret. Konkludime të përbashkëta do të nxirren përmes diskutimit të pyetjeve dhe çështjeve të ngritura.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Calibri" w:cs="Calibri" w:eastAsia="Calibri" w:hAnsi="Calibri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Metodat e vlerësimit: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272.0" w:type="dxa"/>
              <w:jc w:val="left"/>
              <w:tblInd w:w="18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313"/>
              <w:gridCol w:w="2959"/>
              <w:tblGridChange w:id="0">
                <w:tblGrid>
                  <w:gridCol w:w="2313"/>
                  <w:gridCol w:w="2959"/>
                </w:tblGrid>
              </w:tblGridChange>
            </w:tblGrid>
            <w:tr>
              <w:trPr>
                <w:cantSplit w:val="0"/>
                <w:trHeight w:val="445" w:hRule="atLeast"/>
                <w:tblHeader w:val="0"/>
              </w:trPr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%</w:t>
                  </w:r>
                </w:p>
              </w:tc>
            </w:tr>
            <w:tr>
              <w:trPr>
                <w:cantSplit w:val="0"/>
                <w:trHeight w:val="398" w:hRule="atLeast"/>
                <w:tblHeader w:val="0"/>
              </w:trPr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2121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Vijimi i rregullt/aktiviteti në klasë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374" w:hRule="atLeast"/>
                <w:tblHeader w:val="0"/>
              </w:trPr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2121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Seminari/projekti kërkimor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40</w:t>
                  </w:r>
                </w:p>
              </w:tc>
            </w:tr>
            <w:tr>
              <w:trPr>
                <w:cantSplit w:val="0"/>
                <w:trHeight w:val="398" w:hRule="atLeast"/>
                <w:tblHeader w:val="0"/>
              </w:trPr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2121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Kolokviumi I-rë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rHeight w:val="353" w:hRule="atLeast"/>
                <w:tblHeader w:val="0"/>
              </w:trPr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2121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Kolokviumi II-të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rHeight w:val="70" w:hRule="atLeast"/>
                <w:tblHeader w:val="0"/>
              </w:trPr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212121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8" w:hRule="atLeast"/>
                <w:tblHeader w:val="0"/>
              </w:trPr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Total</w:t>
                  </w:r>
                </w:p>
              </w:tc>
              <w:tc>
                <w:tcPr>
                  <w:shd w:fill="ffffff" w:val="clear"/>
                  <w:vAlign w:val="top"/>
                </w:tcPr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100</w:t>
                  </w:r>
                </w:p>
              </w:tc>
            </w:tr>
          </w:tbl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bazë: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bazë që shfrytëzohet në lëndë: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   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Antony Gidens,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Sociologjia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Tiranë, 1995.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Mattaini, M. A., Lowery, C. T., &amp; Quinn, K. (2018). Advocacy practice for social justice (4th ed.). NASW Press.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Paynter, M., &amp; Foley, M. (Eds.). (2019). Social work in a changing society. Palgrave Macmillan.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shtesë: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Adams, R., Dominelli, L., &amp; Payne, M. (2019). Critical practice in social work (4th ed.). Palgrave Macmillan.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Dalrymple, J., &amp; Burke, B. (2018). Anti-oppressive practice: Social care and the law. Open University Jansson, B. S. (2018). Becoming an effective policy advocate: From policy practice to social justice (8th ed.). Cengage Learning.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Lewis, J. A., Lewis, M. D., Daniels, J. A., &amp; D'Andrea, M. (Eds.). (2020). Community organizing and community building for health and welfare (4th ed.). Rutgers University Press.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Tituj nga Michel Foucault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4"/>
        <w:tblW w:w="91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18"/>
        <w:gridCol w:w="6480"/>
        <w:tblGridChange w:id="0">
          <w:tblGrid>
            <w:gridCol w:w="2718"/>
            <w:gridCol w:w="64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8cce4" w:val="clear"/>
            <w:vAlign w:val="top"/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Plani i dizejnuar i mësimit: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8cce4" w:val="clear"/>
            <w:vAlign w:val="top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8cce4" w:val="clear"/>
            <w:vAlign w:val="top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Ligjerata që do të zhvillohet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parë: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Njohja me lëndën, literatura, obligimet dhe detyrat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dytë: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Konceptet bazë të avokimit dhe fuqizimit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tretë: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Perspektiva historike dhe zhvillimi i avokimit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katërt: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Drejtësia sociale dhe pabarazitë strukturore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.96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pestë: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Teoria e fuqizimit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gjashtë: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Modelet e avokimit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shtatë: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Kolokviumi i parë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tetë: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Fuqizimi individual dhe puna me klientin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nëntë: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Marrëdhëniet e pushtetit: Konceptet e Foucault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dhjetë: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Avokimi për grupe të margjinalizuara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njëmbëdhjete: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Etika, pushteti dhe dilemat profesionale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dymbëdhjetë: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Politikat sociale dhe avokimi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trembëdhjetë: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Debat në klasë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katërmbëdhjetë: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Rikapitulimi i përmbajtjes së lëndës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Java e pesëmbëdhjetë: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Kolokviumi i dytë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98"/>
        <w:tblGridChange w:id="0">
          <w:tblGrid>
            <w:gridCol w:w="9198"/>
          </w:tblGrid>
        </w:tblGridChange>
      </w:tblGrid>
      <w:tr>
        <w:trPr>
          <w:cantSplit w:val="0"/>
          <w:tblHeader w:val="0"/>
        </w:trPr>
        <w:tc>
          <w:tcPr>
            <w:shd w:fill="b8cce4" w:val="clear"/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vertAlign w:val="baseline"/>
                <w:rtl w:val="0"/>
              </w:rPr>
              <w:t xml:space="preserve">Politikat akademike dhe rregullat e mirësjelljes: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Duhet të jeni të përgjegjshëm për statusin tuaj. Nga ju pritet që sjelljet dhe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qëndrimet tuaja të jenë në përputhje me këtë status, përkatësisht t’i përmbaheni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politikave akademike dhe rregullave të mirësjelljes të Universitetit të Prishtinës.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Plagjiatura, mashtrimi, përshkrimi apo bashkëpunimi në test dhe provim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përfundimtar janë të ndaluara.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Rregullat e mirësjelljes, sidomos arritja me kohë në orë mësimore, shkyçja e celularëve, mosprishja e rendit në orë mësimore dhe në veçanti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në provime duhet të respektohen. Prishjet e rënda të rendit, sidomos në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provim, do të raportohen në komisionin disiplinor të Fakultetit. Ju rekomandohet fuqishëm që të (ri)lexoni Statutin e UP-së për t’u informuar për obligimet dhe të drejtat tuaja.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bCs w:val="1"/>
      <w:sz w:val="27"/>
      <w:szCs w:val="27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sq-AL" w:val="sq-AL"/>
    </w:rPr>
  </w:style>
  <w:style w:type="character" w:styleId="HTMLPreformattedChar">
    <w:name w:val="HTML Preformatted Char"/>
    <w:next w:val="HTMLPreformattedCh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NoSpacingChar">
    <w:name w:val="No Spacing Char"/>
    <w:next w:val="NoSpacing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fontstyle01">
    <w:name w:val="fontstyle01"/>
    <w:next w:val="fontstyle01"/>
    <w:autoRedefine w:val="0"/>
    <w:hidden w:val="0"/>
    <w:qFormat w:val="0"/>
    <w:rPr>
      <w:rFonts w:ascii="Calibri" w:cs="Calibri" w:hAnsi="Calibri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character" w:styleId="go">
    <w:name w:val="go"/>
    <w:basedOn w:val="DefaultParagraphFont"/>
    <w:next w:val="g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vdyl.gashi@Uni-pr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Oksl+EXSsnvg02tBkP0eFFO9A==">CgMxLjA4AHIhMVQ1NElRdTg2RkNmRS1mbW41TWtkZDFCWmdjVndzRndZ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2024-01-11T13:46:00Z</dcterms:created>
  <dc:creator>IT</dc:creator>
</cp:coreProperties>
</file>