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D1888" w14:textId="7DABA900" w:rsidR="00151A17" w:rsidRPr="00BA1DE5" w:rsidRDefault="00151A17" w:rsidP="00CC1EC6">
      <w:pPr>
        <w:outlineLvl w:val="0"/>
        <w:rPr>
          <w:rFonts w:ascii="Calibri" w:hAnsi="Calibri"/>
          <w:b/>
          <w:sz w:val="28"/>
          <w:szCs w:val="28"/>
        </w:rPr>
      </w:pPr>
      <w:r w:rsidRPr="00BA1DE5">
        <w:rPr>
          <w:rFonts w:ascii="Calibri" w:hAnsi="Calibri"/>
          <w:b/>
          <w:sz w:val="28"/>
          <w:szCs w:val="28"/>
        </w:rPr>
        <w:t xml:space="preserve">Titulli i lëndës: </w:t>
      </w:r>
      <w:r w:rsidR="009B26ED" w:rsidRPr="009B26ED">
        <w:rPr>
          <w:rFonts w:ascii="Calibri" w:hAnsi="Calibri"/>
          <w:b/>
          <w:sz w:val="28"/>
          <w:szCs w:val="28"/>
        </w:rPr>
        <w:t>Sfera Publike në kontekstin urban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270"/>
        <w:gridCol w:w="1537"/>
        <w:gridCol w:w="1770"/>
        <w:gridCol w:w="2044"/>
      </w:tblGrid>
      <w:tr w:rsidR="00151A17" w:rsidRPr="00BA1DE5" w14:paraId="126F5AF3" w14:textId="77777777" w:rsidTr="001E3C40">
        <w:tc>
          <w:tcPr>
            <w:tcW w:w="8856" w:type="dxa"/>
            <w:gridSpan w:val="5"/>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9B2FBB6" w14:textId="77777777"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14:paraId="47AA4ED4"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5500C9FC"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1A519ABF" w14:textId="0206F7A2" w:rsidR="00151A17" w:rsidRPr="00BA1DE5" w:rsidRDefault="007E45F5"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Fakulteti i Arkitekturës</w:t>
            </w:r>
            <w:r w:rsidR="0010678E">
              <w:rPr>
                <w:rFonts w:asciiTheme="minorHAnsi" w:eastAsiaTheme="minorHAnsi" w:hAnsiTheme="minorHAnsi" w:cstheme="minorBidi"/>
                <w:sz w:val="22"/>
                <w:szCs w:val="22"/>
                <w:lang w:val="sq-AL"/>
              </w:rPr>
              <w:t xml:space="preserve"> </w:t>
            </w:r>
          </w:p>
        </w:tc>
      </w:tr>
      <w:tr w:rsidR="00151A17" w:rsidRPr="00BA1DE5" w14:paraId="1719E70A"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6B9EF2C1"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4BD3CADA" w14:textId="77777777" w:rsidR="00151A17" w:rsidRPr="00BA1DE5" w:rsidRDefault="00CF240D" w:rsidP="001E3C40">
            <w:pPr>
              <w:pStyle w:val="NoSpacing"/>
              <w:rPr>
                <w:rFonts w:asciiTheme="minorHAnsi" w:eastAsiaTheme="minorHAnsi" w:hAnsiTheme="minorHAnsi" w:cstheme="minorBidi"/>
                <w:sz w:val="22"/>
                <w:szCs w:val="22"/>
                <w:lang w:val="sq-AL"/>
              </w:rPr>
            </w:pPr>
            <w:r>
              <w:rPr>
                <w:rFonts w:ascii="Calibri" w:hAnsi="Calibri"/>
                <w:b/>
                <w:sz w:val="20"/>
                <w:szCs w:val="20"/>
                <w:lang w:val="sq-AL"/>
              </w:rPr>
              <w:t>Sfera Publike në kontekstin urban</w:t>
            </w:r>
          </w:p>
        </w:tc>
      </w:tr>
      <w:tr w:rsidR="00151A17" w:rsidRPr="00BA1DE5" w14:paraId="5E98C6C6"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57C115F1"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257397F1" w14:textId="77777777" w:rsidR="00151A17" w:rsidRPr="00BA1DE5" w:rsidRDefault="00CF240D" w:rsidP="00CF240D">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Master</w:t>
            </w:r>
          </w:p>
        </w:tc>
      </w:tr>
      <w:tr w:rsidR="00151A17" w:rsidRPr="00BA1DE5" w14:paraId="2CBEE820"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260E8C0C"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171F7457" w14:textId="77777777" w:rsidR="00151A17" w:rsidRPr="00BA1DE5" w:rsidRDefault="00FD3493"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Zgjedhore</w:t>
            </w:r>
          </w:p>
        </w:tc>
      </w:tr>
      <w:tr w:rsidR="00151A17" w:rsidRPr="00BA1DE5" w14:paraId="0C147C13"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32DBE825"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3965A916" w14:textId="380F0B76" w:rsidR="00151A17" w:rsidRPr="00BA1DE5" w:rsidRDefault="007E45F5"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Sem I</w:t>
            </w:r>
          </w:p>
        </w:tc>
      </w:tr>
      <w:tr w:rsidR="00151A17" w:rsidRPr="00BA1DE5" w14:paraId="7EDFA1D0" w14:textId="77777777" w:rsidTr="00FD3493">
        <w:tc>
          <w:tcPr>
            <w:tcW w:w="3505" w:type="dxa"/>
            <w:gridSpan w:val="2"/>
            <w:tcBorders>
              <w:top w:val="single" w:sz="4" w:space="0" w:color="000000"/>
              <w:left w:val="single" w:sz="4" w:space="0" w:color="000000"/>
              <w:bottom w:val="single" w:sz="4" w:space="0" w:color="000000"/>
              <w:right w:val="single" w:sz="4" w:space="0" w:color="000000"/>
            </w:tcBorders>
          </w:tcPr>
          <w:p w14:paraId="08E89888" w14:textId="77777777" w:rsidR="00151A17" w:rsidRPr="000201AB" w:rsidRDefault="00151A17" w:rsidP="001E3C40">
            <w:pPr>
              <w:pStyle w:val="NoSpacing"/>
              <w:rPr>
                <w:rFonts w:ascii="Calibri" w:hAnsi="Calibri"/>
                <w:b/>
                <w:szCs w:val="28"/>
                <w:lang w:val="sq-AL"/>
              </w:rPr>
            </w:pPr>
            <w:r w:rsidRPr="000201AB">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3052A6" w14:textId="10BAD0C0" w:rsidR="00151A17" w:rsidRPr="000201AB" w:rsidRDefault="00F762C2" w:rsidP="001E3C40">
            <w:pPr>
              <w:pStyle w:val="NoSpacing"/>
              <w:rPr>
                <w:rFonts w:asciiTheme="minorHAnsi" w:eastAsiaTheme="minorHAnsi" w:hAnsiTheme="minorHAnsi" w:cstheme="minorBidi"/>
                <w:sz w:val="22"/>
                <w:szCs w:val="22"/>
                <w:lang w:val="sq-AL"/>
              </w:rPr>
            </w:pPr>
            <w:r w:rsidRPr="000201AB">
              <w:rPr>
                <w:rFonts w:asciiTheme="minorHAnsi" w:eastAsiaTheme="minorHAnsi" w:hAnsiTheme="minorHAnsi" w:cstheme="minorBidi"/>
                <w:sz w:val="22"/>
                <w:szCs w:val="22"/>
                <w:lang w:val="sq-AL"/>
              </w:rPr>
              <w:t>2+1</w:t>
            </w:r>
          </w:p>
        </w:tc>
      </w:tr>
      <w:tr w:rsidR="00151A17" w:rsidRPr="00BA1DE5" w14:paraId="3058885C" w14:textId="77777777" w:rsidTr="00FD3493">
        <w:tc>
          <w:tcPr>
            <w:tcW w:w="3505" w:type="dxa"/>
            <w:gridSpan w:val="2"/>
            <w:tcBorders>
              <w:top w:val="single" w:sz="4" w:space="0" w:color="000000"/>
              <w:left w:val="single" w:sz="4" w:space="0" w:color="000000"/>
              <w:bottom w:val="single" w:sz="4" w:space="0" w:color="000000"/>
              <w:right w:val="single" w:sz="4" w:space="0" w:color="000000"/>
            </w:tcBorders>
          </w:tcPr>
          <w:p w14:paraId="644F9DE6" w14:textId="77777777" w:rsidR="00151A17" w:rsidRPr="000201AB" w:rsidRDefault="00151A17" w:rsidP="001E3C40">
            <w:pPr>
              <w:pStyle w:val="NoSpacing"/>
              <w:rPr>
                <w:rFonts w:ascii="Calibri" w:hAnsi="Calibri"/>
                <w:b/>
                <w:szCs w:val="28"/>
                <w:lang w:val="sq-AL"/>
              </w:rPr>
            </w:pPr>
            <w:r w:rsidRPr="000201AB">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shd w:val="clear" w:color="auto" w:fill="FFFF00"/>
          </w:tcPr>
          <w:p w14:paraId="5D696BC7" w14:textId="5B0EC607" w:rsidR="00151A17" w:rsidRPr="000201AB" w:rsidRDefault="007E45F5" w:rsidP="001E3C40">
            <w:pPr>
              <w:pStyle w:val="NoSpacing"/>
              <w:rPr>
                <w:rFonts w:asciiTheme="minorHAnsi" w:eastAsiaTheme="minorHAnsi" w:hAnsiTheme="minorHAnsi" w:cstheme="minorBidi"/>
                <w:sz w:val="22"/>
                <w:szCs w:val="22"/>
                <w:lang w:val="sq-AL"/>
              </w:rPr>
            </w:pPr>
            <w:r w:rsidRPr="000201AB">
              <w:rPr>
                <w:rFonts w:asciiTheme="minorHAnsi" w:eastAsiaTheme="minorHAnsi" w:hAnsiTheme="minorHAnsi" w:cstheme="minorBidi"/>
                <w:sz w:val="22"/>
                <w:szCs w:val="22"/>
              </w:rPr>
              <w:t>4</w:t>
            </w:r>
          </w:p>
        </w:tc>
      </w:tr>
      <w:tr w:rsidR="00151A17" w:rsidRPr="00BA1DE5" w14:paraId="3F98EBC3"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4F740DCF"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3242969E" w14:textId="4BCD7323" w:rsidR="00151A17" w:rsidRPr="00BA1DE5" w:rsidRDefault="0010678E"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Sipas orarit </w:t>
            </w:r>
          </w:p>
        </w:tc>
      </w:tr>
      <w:tr w:rsidR="00151A17" w:rsidRPr="00BA1DE5" w14:paraId="6C2E78D9"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689972CD"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61D60FF1" w14:textId="649C01F9" w:rsidR="00151A17" w:rsidRPr="007E45F5" w:rsidRDefault="007E45F5" w:rsidP="001E3C40">
            <w:pPr>
              <w:pStyle w:val="NoSpacing"/>
              <w:rPr>
                <w:rFonts w:asciiTheme="minorHAnsi" w:eastAsiaTheme="minorHAnsi" w:hAnsiTheme="minorHAnsi" w:cstheme="minorHAnsi"/>
                <w:sz w:val="22"/>
                <w:szCs w:val="22"/>
                <w:lang w:val="sq-AL"/>
              </w:rPr>
            </w:pPr>
            <w:r w:rsidRPr="007E45F5">
              <w:rPr>
                <w:rFonts w:asciiTheme="minorHAnsi" w:hAnsiTheme="minorHAnsi" w:cstheme="minorHAnsi"/>
                <w:bCs/>
                <w:lang w:val="sq-AL"/>
              </w:rPr>
              <w:t>Prof. Ass. Dr. Ardita Byci Jakupi</w:t>
            </w:r>
            <w:r w:rsidRPr="000201AB">
              <w:rPr>
                <w:rFonts w:asciiTheme="minorHAnsi" w:hAnsiTheme="minorHAnsi" w:cstheme="minorHAnsi"/>
                <w:bCs/>
                <w:highlight w:val="yellow"/>
                <w:lang w:val="sq-AL"/>
              </w:rPr>
              <w:t>; Dr. Sc. Ilir Gjinolli</w:t>
            </w:r>
          </w:p>
        </w:tc>
      </w:tr>
      <w:tr w:rsidR="00151A17" w:rsidRPr="00BA1DE5" w14:paraId="132AC690"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4DDF170A"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0283BE5E" w14:textId="208202E3" w:rsidR="00151A17" w:rsidRPr="00BA1DE5" w:rsidRDefault="000201AB" w:rsidP="007E45F5">
            <w:pPr>
              <w:pStyle w:val="NoSpacing"/>
              <w:rPr>
                <w:rFonts w:asciiTheme="minorHAnsi" w:eastAsiaTheme="minorHAnsi" w:hAnsiTheme="minorHAnsi" w:cstheme="minorBidi"/>
                <w:sz w:val="22"/>
                <w:szCs w:val="22"/>
                <w:lang w:val="sq-AL"/>
              </w:rPr>
            </w:pPr>
            <w:hyperlink r:id="rId5" w:history="1">
              <w:r w:rsidR="007E45F5" w:rsidRPr="00B10123">
                <w:rPr>
                  <w:rStyle w:val="Hyperlink"/>
                  <w:rFonts w:asciiTheme="minorHAnsi" w:eastAsiaTheme="minorHAnsi" w:hAnsiTheme="minorHAnsi" w:cstheme="minorBidi"/>
                  <w:sz w:val="22"/>
                  <w:szCs w:val="22"/>
                  <w:lang w:val="sq-AL"/>
                </w:rPr>
                <w:t>ardita.byci@uni-pr.edu</w:t>
              </w:r>
            </w:hyperlink>
            <w:r w:rsidR="0010678E">
              <w:rPr>
                <w:rFonts w:asciiTheme="minorHAnsi" w:eastAsiaTheme="minorHAnsi" w:hAnsiTheme="minorHAnsi" w:cstheme="minorBidi"/>
                <w:sz w:val="22"/>
                <w:szCs w:val="22"/>
                <w:lang w:val="sq-AL"/>
              </w:rPr>
              <w:t xml:space="preserve"> </w:t>
            </w:r>
          </w:p>
        </w:tc>
      </w:tr>
      <w:tr w:rsidR="00151A17" w:rsidRPr="00BA1DE5" w14:paraId="66D2BBBB" w14:textId="77777777" w:rsidTr="001E3C40">
        <w:tc>
          <w:tcPr>
            <w:tcW w:w="8856" w:type="dxa"/>
            <w:gridSpan w:val="5"/>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B102E72" w14:textId="77777777" w:rsidR="00151A17" w:rsidRPr="00BA1DE5" w:rsidRDefault="00151A17" w:rsidP="001E3C40">
            <w:pPr>
              <w:pStyle w:val="NoSpacing"/>
              <w:rPr>
                <w:rFonts w:ascii="Calibri" w:hAnsi="Calibri"/>
                <w:lang w:val="sq-AL"/>
              </w:rPr>
            </w:pPr>
          </w:p>
        </w:tc>
      </w:tr>
      <w:tr w:rsidR="007E45F5" w:rsidRPr="00BA1DE5" w14:paraId="75ACA496"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3D78D990" w14:textId="77777777" w:rsidR="007E45F5" w:rsidRPr="00BA1DE5" w:rsidRDefault="007E45F5" w:rsidP="007E45F5">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603F40FA" w14:textId="4C211D6B" w:rsidR="007E45F5" w:rsidRPr="00FD3493" w:rsidRDefault="007E45F5" w:rsidP="007E45F5">
            <w:pPr>
              <w:spacing w:after="0" w:line="240" w:lineRule="auto"/>
              <w:ind w:right="-302"/>
              <w:rPr>
                <w:rFonts w:ascii="Calibri" w:eastAsia="Times New Roman" w:hAnsi="Calibri" w:cs="Arial"/>
                <w:sz w:val="20"/>
                <w:szCs w:val="20"/>
              </w:rPr>
            </w:pPr>
            <w:r w:rsidRPr="00AA25AE">
              <w:rPr>
                <w:rFonts w:ascii="Times New Roman" w:hAnsi="Times New Roman" w:cs="Times New Roman"/>
                <w:sz w:val="20"/>
                <w:szCs w:val="20"/>
              </w:rPr>
              <w:t xml:space="preserve">Lënda trajton transformimin e jashtëzakonshëm urban me të cilin shoqëritë ballafaqohen sot, dhe fenomenet urbane të ndërmjetësuara nga sfera publike dhe të materializuara në hapësirën publike urbane. Disa prej çështjeve qendrore që sjellen në diskutim janë kuptimi i qytetit si sistem dinamik dhe transformues; ndryshimet e sferës publike dhe manifestimi hapësinor i saj; marëdhëniet e hapësirës publike me shoqërinë, kulturën, edukimin, estetikën dhe teknologjitë bashkëkohore. Një nga pyetjet e përgjithshme është se si të ballafaqohemi me nevojën për hapësira të qëndrueshme urbane në aspekt mjedisor, morfologjik dhe funksional, të cilat janë gjithëpërfshirëse në kuptimin social dhe kanë me ekonomi vitale. </w:t>
            </w:r>
          </w:p>
        </w:tc>
      </w:tr>
      <w:tr w:rsidR="007E45F5" w:rsidRPr="00BA1DE5" w14:paraId="08266CEA" w14:textId="77777777" w:rsidTr="001E3C40">
        <w:tc>
          <w:tcPr>
            <w:tcW w:w="3505" w:type="dxa"/>
            <w:gridSpan w:val="2"/>
            <w:tcBorders>
              <w:top w:val="single" w:sz="4" w:space="0" w:color="000000"/>
              <w:left w:val="single" w:sz="4" w:space="0" w:color="000000"/>
              <w:bottom w:val="single" w:sz="4" w:space="0" w:color="000000"/>
              <w:right w:val="single" w:sz="4" w:space="0" w:color="000000"/>
            </w:tcBorders>
          </w:tcPr>
          <w:p w14:paraId="7B3312AA" w14:textId="77777777" w:rsidR="007E45F5" w:rsidRPr="00BA1DE5" w:rsidRDefault="007E45F5" w:rsidP="007E45F5">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715FED7B" w14:textId="1967391F" w:rsidR="007E45F5" w:rsidRPr="00AF5CC1" w:rsidRDefault="007E45F5" w:rsidP="007E45F5">
            <w:pPr>
              <w:spacing w:after="0" w:line="240" w:lineRule="auto"/>
              <w:ind w:right="-302"/>
              <w:rPr>
                <w:rFonts w:eastAsiaTheme="minorEastAsia" w:cs="Times New Roman"/>
                <w:sz w:val="20"/>
                <w:szCs w:val="20"/>
              </w:rPr>
            </w:pPr>
            <w:r w:rsidRPr="00AA25AE">
              <w:rPr>
                <w:rFonts w:ascii="Times New Roman" w:eastAsia="Times New Roman" w:hAnsi="Times New Roman" w:cs="Times New Roman"/>
                <w:sz w:val="20"/>
                <w:szCs w:val="20"/>
              </w:rPr>
              <w:t xml:space="preserve">Qëllimet e lëndës janë ndërlidhja e sferës publike me kontekstin urban, duke u fokusuar në nivel të formimit, planifikimit dhe dizajnimit të hapësirës publike urbane; njohja me konceptin e sferës publike si një rrjet hapësirash fizike ku njerëzit identifikojnë dhe shprehin interesat e përbashkëta publike; diskutimi i hapësirës publike urbane dhe hapësirës publike ideologjike-politike, dhe marëdhënies së tyre me kulturën, edukimin, arkitekturën dhe dizajnin urban. </w:t>
            </w:r>
          </w:p>
        </w:tc>
      </w:tr>
      <w:tr w:rsidR="007E45F5" w:rsidRPr="00BA1DE5" w14:paraId="37907DF7" w14:textId="77777777" w:rsidTr="001E3C40">
        <w:tc>
          <w:tcPr>
            <w:tcW w:w="3505" w:type="dxa"/>
            <w:gridSpan w:val="2"/>
            <w:tcBorders>
              <w:top w:val="single" w:sz="4" w:space="0" w:color="000000"/>
              <w:left w:val="single" w:sz="4" w:space="0" w:color="000000"/>
              <w:bottom w:val="single" w:sz="4" w:space="0" w:color="FFFFFF" w:themeColor="background1"/>
              <w:right w:val="single" w:sz="4" w:space="0" w:color="000000"/>
            </w:tcBorders>
          </w:tcPr>
          <w:p w14:paraId="452D0FC5" w14:textId="77777777" w:rsidR="007E45F5" w:rsidRPr="00BA1DE5" w:rsidRDefault="007E45F5" w:rsidP="007E45F5">
            <w:pPr>
              <w:pStyle w:val="NoSpacing"/>
              <w:rPr>
                <w:rFonts w:ascii="Calibri" w:hAnsi="Calibri"/>
                <w:b/>
                <w:lang w:val="sq-AL"/>
              </w:rPr>
            </w:pPr>
            <w:r w:rsidRPr="00BA1DE5">
              <w:rPr>
                <w:rFonts w:asciiTheme="minorHAnsi" w:hAnsiTheme="minorHAnsi" w:cstheme="minorHAnsi"/>
                <w:b/>
                <w:sz w:val="22"/>
                <w:szCs w:val="22"/>
                <w:lang w:val="sq-AL"/>
              </w:rPr>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28070ABE" w14:textId="77777777" w:rsidR="007E45F5" w:rsidRPr="00AA25AE" w:rsidRDefault="007E45F5" w:rsidP="007E45F5">
            <w:pPr>
              <w:pStyle w:val="ListParagraph"/>
              <w:numPr>
                <w:ilvl w:val="0"/>
                <w:numId w:val="6"/>
              </w:numPr>
              <w:spacing w:after="0" w:line="240" w:lineRule="auto"/>
              <w:ind w:right="-102"/>
              <w:rPr>
                <w:sz w:val="20"/>
                <w:szCs w:val="20"/>
              </w:rPr>
            </w:pPr>
            <w:r w:rsidRPr="00AA25AE">
              <w:rPr>
                <w:sz w:val="20"/>
                <w:szCs w:val="20"/>
              </w:rPr>
              <w:t>Aplikimi i koncepteve teorike që lidhen me sferën publike, në studimin e hapësirës dhe fenomeneve urbane;</w:t>
            </w:r>
          </w:p>
          <w:p w14:paraId="3133E282" w14:textId="77777777" w:rsidR="007E45F5" w:rsidRPr="00AA25AE" w:rsidRDefault="007E45F5" w:rsidP="007E45F5">
            <w:pPr>
              <w:pStyle w:val="ListParagraph"/>
              <w:numPr>
                <w:ilvl w:val="0"/>
                <w:numId w:val="6"/>
              </w:numPr>
              <w:spacing w:after="0" w:line="240" w:lineRule="auto"/>
              <w:ind w:right="-102"/>
              <w:rPr>
                <w:sz w:val="20"/>
                <w:szCs w:val="20"/>
              </w:rPr>
            </w:pPr>
            <w:r w:rsidRPr="00AA25AE">
              <w:rPr>
                <w:sz w:val="20"/>
                <w:szCs w:val="20"/>
              </w:rPr>
              <w:t>Analizimi i marrëdhënieve midis planifikimit urban dhe kontekstit të përgjithshëm hapësinor-shoqëror, dhe interpretimi adekuat i tyre përmes dizajnit të hapësirës publike dhe arkitekturës publike;</w:t>
            </w:r>
          </w:p>
          <w:p w14:paraId="2E8553A5" w14:textId="77777777" w:rsidR="007E45F5" w:rsidRPr="00AA25AE" w:rsidRDefault="007E45F5" w:rsidP="007E45F5">
            <w:pPr>
              <w:pStyle w:val="ListParagraph"/>
              <w:numPr>
                <w:ilvl w:val="0"/>
                <w:numId w:val="6"/>
              </w:numPr>
              <w:spacing w:after="0" w:line="240" w:lineRule="auto"/>
              <w:ind w:right="-102"/>
              <w:rPr>
                <w:sz w:val="20"/>
                <w:szCs w:val="20"/>
              </w:rPr>
            </w:pPr>
            <w:r w:rsidRPr="00AA25AE">
              <w:rPr>
                <w:sz w:val="20"/>
                <w:szCs w:val="20"/>
              </w:rPr>
              <w:t xml:space="preserve">Integrimi i dizajnit urban dhe arkitekturor me jetën publike dhe kërkesat kulturore, teknike dhe funksionale të qytetit dhe shoqërisë së kohës; </w:t>
            </w:r>
          </w:p>
          <w:p w14:paraId="2779BB90" w14:textId="77777777" w:rsidR="007E45F5" w:rsidRDefault="007E45F5" w:rsidP="007E45F5">
            <w:pPr>
              <w:pStyle w:val="ListParagraph"/>
              <w:numPr>
                <w:ilvl w:val="0"/>
                <w:numId w:val="6"/>
              </w:numPr>
              <w:spacing w:after="0" w:line="240" w:lineRule="auto"/>
              <w:ind w:right="-102"/>
              <w:rPr>
                <w:sz w:val="20"/>
                <w:szCs w:val="20"/>
              </w:rPr>
            </w:pPr>
            <w:r w:rsidRPr="00AA25AE">
              <w:rPr>
                <w:sz w:val="20"/>
                <w:szCs w:val="20"/>
              </w:rPr>
              <w:t>Vlerësimi i funksionit të praktikës së urbanizmit, të urbanistëve dhe arkitektëve, në zhvillimin e përgjithshëm të qytetit dhe shoqërisë, dhe ndikimi në sferën publike në veçanti;</w:t>
            </w:r>
          </w:p>
          <w:p w14:paraId="5AE8FF21" w14:textId="041D51B1" w:rsidR="007E45F5" w:rsidRPr="007E45F5" w:rsidRDefault="007E45F5" w:rsidP="007E45F5">
            <w:pPr>
              <w:pStyle w:val="ListParagraph"/>
              <w:numPr>
                <w:ilvl w:val="0"/>
                <w:numId w:val="6"/>
              </w:numPr>
              <w:spacing w:after="0" w:line="240" w:lineRule="auto"/>
              <w:ind w:right="-102"/>
              <w:rPr>
                <w:sz w:val="20"/>
                <w:szCs w:val="20"/>
              </w:rPr>
            </w:pPr>
            <w:r w:rsidRPr="007E45F5">
              <w:rPr>
                <w:sz w:val="20"/>
                <w:szCs w:val="20"/>
              </w:rPr>
              <w:t xml:space="preserve">Demonstrimi i aftësive të nevojshme të argumentimit, për të shpjeguar dhe reflektuar mbi marrëdhëniet midis </w:t>
            </w:r>
            <w:r w:rsidRPr="007E45F5">
              <w:rPr>
                <w:sz w:val="20"/>
                <w:szCs w:val="20"/>
              </w:rPr>
              <w:lastRenderedPageBreak/>
              <w:t>analizave, konceptualizimit, metodës dhe kompozimit në dizjanin urban dhe arkitektonik.</w:t>
            </w:r>
          </w:p>
        </w:tc>
      </w:tr>
      <w:tr w:rsidR="00FD3493" w:rsidRPr="00BA1DE5" w14:paraId="19F9836A" w14:textId="77777777" w:rsidTr="001E3C40">
        <w:tc>
          <w:tcPr>
            <w:tcW w:w="885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20A8E14" w14:textId="77777777" w:rsidR="00FD3493" w:rsidRPr="00BA1DE5" w:rsidRDefault="00FD3493" w:rsidP="001E3C40">
            <w:pPr>
              <w:pStyle w:val="NoSpacing"/>
              <w:rPr>
                <w:rFonts w:ascii="Calibri" w:hAnsi="Calibri"/>
                <w:i/>
                <w:sz w:val="22"/>
                <w:szCs w:val="22"/>
                <w:lang w:val="sq-AL"/>
              </w:rPr>
            </w:pPr>
          </w:p>
        </w:tc>
      </w:tr>
      <w:tr w:rsidR="00FD3493" w:rsidRPr="00BA1DE5" w14:paraId="0A689030" w14:textId="77777777" w:rsidTr="001E3C40">
        <w:trPr>
          <w:trHeight w:val="70"/>
        </w:trPr>
        <w:tc>
          <w:tcPr>
            <w:tcW w:w="885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4332D96" w14:textId="77777777" w:rsidR="00FD3493" w:rsidRPr="00BA1DE5" w:rsidRDefault="00FD3493" w:rsidP="001E3C4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FD3493" w:rsidRPr="00BA1DE5" w14:paraId="40F12E17" w14:textId="77777777" w:rsidTr="001E3C40">
        <w:tc>
          <w:tcPr>
            <w:tcW w:w="350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87039DB" w14:textId="77777777" w:rsidR="00FD3493" w:rsidRPr="00BA1DE5" w:rsidRDefault="00FD3493" w:rsidP="001E3C40">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4687E25" w14:textId="77777777" w:rsidR="00FD3493" w:rsidRPr="00BA1DE5" w:rsidRDefault="00FD3493" w:rsidP="001E3C40">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7BC2763" w14:textId="77777777" w:rsidR="00FD3493" w:rsidRPr="00BA1DE5" w:rsidRDefault="00FD3493" w:rsidP="001E3C40">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83FC18D" w14:textId="77777777" w:rsidR="00FD3493" w:rsidRPr="00BA1DE5" w:rsidRDefault="00FD3493" w:rsidP="001E3C40">
            <w:pPr>
              <w:spacing w:after="0" w:line="240" w:lineRule="exact"/>
              <w:rPr>
                <w:rFonts w:ascii="Calibri" w:hAnsi="Calibri" w:cs="Arial"/>
                <w:b/>
              </w:rPr>
            </w:pPr>
            <w:r w:rsidRPr="00BA1DE5">
              <w:rPr>
                <w:rFonts w:ascii="Calibri" w:hAnsi="Calibri" w:cs="Arial"/>
                <w:b/>
              </w:rPr>
              <w:t>Gjithsej</w:t>
            </w:r>
          </w:p>
        </w:tc>
      </w:tr>
      <w:tr w:rsidR="00F762C2" w:rsidRPr="00BA1DE5" w14:paraId="212CA9AF" w14:textId="77777777" w:rsidTr="009C7D16">
        <w:tc>
          <w:tcPr>
            <w:tcW w:w="3505" w:type="dxa"/>
            <w:gridSpan w:val="2"/>
            <w:tcBorders>
              <w:top w:val="single" w:sz="4" w:space="0" w:color="FFFFFF" w:themeColor="background1"/>
              <w:left w:val="single" w:sz="4" w:space="0" w:color="000000"/>
              <w:bottom w:val="single" w:sz="4" w:space="0" w:color="000000"/>
              <w:right w:val="single" w:sz="4" w:space="0" w:color="auto"/>
            </w:tcBorders>
            <w:shd w:val="clear" w:color="auto" w:fill="FFFFFF"/>
          </w:tcPr>
          <w:p w14:paraId="7F820989" w14:textId="77777777" w:rsidR="00F762C2" w:rsidRPr="00BA1DE5" w:rsidRDefault="00F762C2" w:rsidP="00F762C2">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vAlign w:val="center"/>
          </w:tcPr>
          <w:p w14:paraId="3AB4BD2A" w14:textId="3AA61529" w:rsidR="00F762C2" w:rsidRPr="00E70B66" w:rsidRDefault="00F762C2" w:rsidP="00F762C2">
            <w:pPr>
              <w:spacing w:after="0" w:line="240" w:lineRule="exact"/>
              <w:jc w:val="center"/>
              <w:rPr>
                <w:rFonts w:cs="Arial"/>
              </w:rPr>
            </w:pPr>
            <w:r>
              <w:rPr>
                <w:rFonts w:ascii="Calibri" w:hAnsi="Calibri" w:cs="Calibri"/>
                <w:color w:val="000000"/>
              </w:rPr>
              <w:t>2</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vAlign w:val="center"/>
          </w:tcPr>
          <w:p w14:paraId="42C9B96B" w14:textId="1734E646" w:rsidR="00F762C2" w:rsidRPr="00E70B66" w:rsidRDefault="00F762C2" w:rsidP="00F762C2">
            <w:pPr>
              <w:spacing w:after="0" w:line="240" w:lineRule="exact"/>
              <w:jc w:val="center"/>
              <w:rPr>
                <w:rFonts w:cs="Arial"/>
              </w:rPr>
            </w:pPr>
            <w:r>
              <w:rPr>
                <w:rFonts w:ascii="Calibri" w:hAnsi="Calibri" w:cs="Calibri"/>
                <w:color w:val="000000"/>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vAlign w:val="center"/>
          </w:tcPr>
          <w:p w14:paraId="4FDB0A72" w14:textId="465461F5" w:rsidR="00F762C2" w:rsidRPr="007C3132" w:rsidRDefault="00F762C2" w:rsidP="00F762C2">
            <w:pPr>
              <w:spacing w:after="0" w:line="240" w:lineRule="exact"/>
              <w:jc w:val="center"/>
              <w:rPr>
                <w:rFonts w:ascii="Calibri" w:hAnsi="Calibri" w:cs="Arial"/>
              </w:rPr>
            </w:pPr>
            <w:r>
              <w:rPr>
                <w:rFonts w:ascii="Calibri" w:hAnsi="Calibri" w:cs="Calibri"/>
                <w:color w:val="000000"/>
              </w:rPr>
              <w:t>30</w:t>
            </w:r>
          </w:p>
        </w:tc>
      </w:tr>
      <w:tr w:rsidR="00F762C2" w:rsidRPr="00BA1DE5" w14:paraId="3BB15DAE" w14:textId="77777777" w:rsidTr="009C7D16">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49765220" w14:textId="77777777" w:rsidR="00F762C2" w:rsidRPr="00483E8E" w:rsidRDefault="00F762C2" w:rsidP="00F762C2">
            <w:pPr>
              <w:spacing w:after="0" w:line="240" w:lineRule="exact"/>
              <w:rPr>
                <w:rFonts w:ascii="Calibri" w:hAnsi="Calibri" w:cs="Arial"/>
              </w:rPr>
            </w:pPr>
            <w:r w:rsidRPr="00483E8E">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14:paraId="5B396E44" w14:textId="3CB32EE3" w:rsidR="00F762C2" w:rsidRPr="00E70B66" w:rsidRDefault="00F762C2" w:rsidP="00F762C2">
            <w:pPr>
              <w:spacing w:after="0" w:line="240" w:lineRule="exact"/>
              <w:jc w:val="center"/>
              <w:rPr>
                <w:rFonts w:cs="Arial"/>
              </w:rPr>
            </w:pPr>
            <w:r>
              <w:rPr>
                <w:rFonts w:ascii="Calibri" w:hAnsi="Calibri" w:cs="Calibri"/>
                <w:color w:val="00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4547FBF9" w14:textId="34C399FB" w:rsidR="00F762C2" w:rsidRPr="00E70B66" w:rsidRDefault="00F762C2" w:rsidP="00F762C2">
            <w:pPr>
              <w:spacing w:after="0" w:line="240" w:lineRule="exact"/>
              <w:jc w:val="center"/>
              <w:rPr>
                <w:rFonts w:cs="Arial"/>
              </w:rPr>
            </w:pPr>
            <w:r>
              <w:rPr>
                <w:rFonts w:ascii="Calibri" w:hAnsi="Calibri" w:cs="Calibri"/>
                <w:color w:val="000000"/>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59A4E0E" w14:textId="769233FA" w:rsidR="00F762C2" w:rsidRPr="007C3132" w:rsidRDefault="00F762C2" w:rsidP="00F762C2">
            <w:pPr>
              <w:spacing w:after="0" w:line="240" w:lineRule="exact"/>
              <w:jc w:val="center"/>
              <w:rPr>
                <w:rFonts w:ascii="Calibri" w:hAnsi="Calibri" w:cs="Arial"/>
              </w:rPr>
            </w:pPr>
            <w:r>
              <w:rPr>
                <w:rFonts w:ascii="Calibri" w:hAnsi="Calibri" w:cs="Calibri"/>
                <w:color w:val="000000"/>
              </w:rPr>
              <w:t>15</w:t>
            </w:r>
          </w:p>
        </w:tc>
      </w:tr>
      <w:tr w:rsidR="00F762C2" w:rsidRPr="00BA1DE5" w14:paraId="66C9C95E" w14:textId="77777777" w:rsidTr="009C7D16">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1E63B9F3" w14:textId="77777777" w:rsidR="00F762C2" w:rsidRPr="00BA1DE5" w:rsidRDefault="00F762C2" w:rsidP="00F762C2">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14:paraId="72E15BAB" w14:textId="100AD785" w:rsidR="00F762C2" w:rsidRPr="00E70B66" w:rsidRDefault="00F762C2" w:rsidP="00F762C2">
            <w:pPr>
              <w:spacing w:after="0" w:line="240" w:lineRule="exact"/>
              <w:jc w:val="center"/>
              <w:rPr>
                <w:rFonts w:cs="Arial"/>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4A869865" w14:textId="4E943BA7" w:rsidR="00F762C2" w:rsidRPr="00E70B66" w:rsidRDefault="00F762C2" w:rsidP="00F762C2">
            <w:pPr>
              <w:spacing w:after="0" w:line="240" w:lineRule="exact"/>
              <w:jc w:val="center"/>
              <w:rPr>
                <w:rFonts w:cs="Arial"/>
              </w:rPr>
            </w:pPr>
            <w:r>
              <w:rPr>
                <w:rFonts w:ascii="Calibri" w:hAnsi="Calibri" w:cs="Calibri"/>
                <w:color w:val="000000"/>
              </w:rPr>
              <w:t>6</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8913C79" w14:textId="3EDA56FA" w:rsidR="00F762C2" w:rsidRPr="007C3132" w:rsidRDefault="00F762C2" w:rsidP="00F762C2">
            <w:pPr>
              <w:spacing w:after="0" w:line="240" w:lineRule="exact"/>
              <w:jc w:val="center"/>
              <w:rPr>
                <w:rFonts w:ascii="Calibri" w:hAnsi="Calibri" w:cs="Arial"/>
              </w:rPr>
            </w:pPr>
            <w:r>
              <w:rPr>
                <w:rFonts w:ascii="Calibri" w:hAnsi="Calibri" w:cs="Calibri"/>
                <w:color w:val="000000"/>
              </w:rPr>
              <w:t>12</w:t>
            </w:r>
          </w:p>
        </w:tc>
      </w:tr>
      <w:tr w:rsidR="00F762C2" w:rsidRPr="00BA1DE5" w14:paraId="3A632EB7" w14:textId="77777777" w:rsidTr="009C7D16">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1D8D0E6A" w14:textId="77777777" w:rsidR="00F762C2" w:rsidRPr="00BA1DE5" w:rsidRDefault="00F762C2" w:rsidP="00F762C2">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14:paraId="476EB486" w14:textId="59477E66" w:rsidR="00F762C2" w:rsidRPr="00E70B66" w:rsidRDefault="00F762C2" w:rsidP="00F762C2">
            <w:pPr>
              <w:spacing w:after="0" w:line="240" w:lineRule="exact"/>
              <w:jc w:val="center"/>
              <w:rPr>
                <w:rFonts w:cs="Arial"/>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7D106579" w14:textId="26C8F722" w:rsidR="00F762C2" w:rsidRPr="00E70B66" w:rsidRDefault="00F762C2" w:rsidP="00F762C2">
            <w:pPr>
              <w:spacing w:after="0" w:line="240" w:lineRule="exact"/>
              <w:jc w:val="center"/>
              <w:rPr>
                <w:rFonts w:cs="Arial"/>
              </w:rPr>
            </w:pPr>
            <w:r>
              <w:rPr>
                <w:rFonts w:ascii="Calibri" w:hAnsi="Calibri" w:cs="Calibri"/>
                <w:color w:val="000000"/>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911C944" w14:textId="06BD924C" w:rsidR="00F762C2" w:rsidRPr="007C3132" w:rsidRDefault="00F762C2" w:rsidP="00F762C2">
            <w:pPr>
              <w:spacing w:after="0" w:line="240" w:lineRule="exact"/>
              <w:jc w:val="center"/>
              <w:rPr>
                <w:rFonts w:ascii="Calibri" w:hAnsi="Calibri" w:cs="Arial"/>
              </w:rPr>
            </w:pPr>
            <w:r>
              <w:rPr>
                <w:rFonts w:ascii="Calibri" w:hAnsi="Calibri" w:cs="Calibri"/>
                <w:color w:val="000000"/>
              </w:rPr>
              <w:t>4</w:t>
            </w:r>
          </w:p>
        </w:tc>
      </w:tr>
      <w:tr w:rsidR="00F762C2" w:rsidRPr="00BA1DE5" w14:paraId="32C2FD23" w14:textId="77777777" w:rsidTr="009C7D16">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0A03E372" w14:textId="77777777" w:rsidR="00F762C2" w:rsidRPr="00BA1DE5" w:rsidRDefault="00F762C2" w:rsidP="00F762C2">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14:paraId="52395265" w14:textId="31A210E7" w:rsidR="00F762C2" w:rsidRPr="00E70B66" w:rsidRDefault="00F762C2" w:rsidP="00F762C2">
            <w:pPr>
              <w:spacing w:after="0" w:line="240" w:lineRule="exact"/>
              <w:jc w:val="center"/>
              <w:rPr>
                <w:rFonts w:cs="Arial"/>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7C1ADF8E" w14:textId="316F369A" w:rsidR="00F762C2" w:rsidRPr="00E70B66" w:rsidRDefault="00F762C2" w:rsidP="00F762C2">
            <w:pPr>
              <w:spacing w:after="0" w:line="240" w:lineRule="exact"/>
              <w:jc w:val="center"/>
              <w:rPr>
                <w:rFonts w:cs="Arial"/>
              </w:rPr>
            </w:pPr>
            <w:r>
              <w:rPr>
                <w:rFonts w:ascii="Calibri" w:hAnsi="Calibri" w:cs="Calibri"/>
                <w:color w:val="000000"/>
              </w:rPr>
              <w:t>6</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DFF35E2" w14:textId="128E6CC4" w:rsidR="00F762C2" w:rsidRPr="007C3132" w:rsidRDefault="00F762C2" w:rsidP="00F762C2">
            <w:pPr>
              <w:spacing w:after="0" w:line="240" w:lineRule="exact"/>
              <w:jc w:val="center"/>
              <w:rPr>
                <w:rFonts w:ascii="Calibri" w:hAnsi="Calibri" w:cs="Arial"/>
              </w:rPr>
            </w:pPr>
            <w:r>
              <w:rPr>
                <w:rFonts w:ascii="Calibri" w:hAnsi="Calibri" w:cs="Calibri"/>
                <w:color w:val="000000"/>
              </w:rPr>
              <w:t>12</w:t>
            </w:r>
          </w:p>
        </w:tc>
      </w:tr>
      <w:tr w:rsidR="00F762C2" w:rsidRPr="00BA1DE5" w14:paraId="342074C5" w14:textId="77777777" w:rsidTr="009C7D16">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7D75FFFA" w14:textId="77777777" w:rsidR="00F762C2" w:rsidRPr="00BA1DE5" w:rsidRDefault="00F762C2" w:rsidP="00F762C2">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14:paraId="32EA18FA" w14:textId="070B73F6" w:rsidR="00F762C2" w:rsidRPr="00E70B66" w:rsidRDefault="00F762C2" w:rsidP="00F762C2">
            <w:pPr>
              <w:spacing w:after="0" w:line="240" w:lineRule="exact"/>
              <w:jc w:val="center"/>
              <w:rPr>
                <w:rFonts w:cs="Arial"/>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59CCEBBC" w14:textId="1E78E1E8" w:rsidR="00F762C2" w:rsidRPr="00E70B66" w:rsidRDefault="00F762C2" w:rsidP="00F762C2">
            <w:pPr>
              <w:spacing w:after="0" w:line="240" w:lineRule="exact"/>
              <w:jc w:val="center"/>
              <w:rPr>
                <w:rFonts w:cs="Arial"/>
              </w:rPr>
            </w:pPr>
            <w:r>
              <w:rPr>
                <w:rFonts w:ascii="Calibri" w:hAnsi="Calibri" w:cs="Calibri"/>
                <w:color w:val="000000"/>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57C7EFD" w14:textId="107C8F23" w:rsidR="00F762C2" w:rsidRPr="007C3132" w:rsidRDefault="00F762C2" w:rsidP="00F762C2">
            <w:pPr>
              <w:spacing w:after="0" w:line="240" w:lineRule="exact"/>
              <w:jc w:val="center"/>
              <w:rPr>
                <w:rFonts w:ascii="Calibri" w:hAnsi="Calibri" w:cs="Arial"/>
              </w:rPr>
            </w:pPr>
            <w:r>
              <w:rPr>
                <w:rFonts w:ascii="Calibri" w:hAnsi="Calibri" w:cs="Calibri"/>
                <w:color w:val="000000"/>
              </w:rPr>
              <w:t>4</w:t>
            </w:r>
          </w:p>
        </w:tc>
      </w:tr>
      <w:tr w:rsidR="00F762C2" w:rsidRPr="00BA1DE5" w14:paraId="354B4DF4" w14:textId="77777777" w:rsidTr="009C7D16">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5C2C80A2" w14:textId="77777777" w:rsidR="00F762C2" w:rsidRPr="00BA1DE5" w:rsidRDefault="00F762C2" w:rsidP="00F762C2">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14:paraId="324FA33D" w14:textId="158BDD1A" w:rsidR="00F762C2" w:rsidRPr="007C3132" w:rsidRDefault="00F762C2" w:rsidP="00F762C2">
            <w:pPr>
              <w:spacing w:after="0" w:line="240" w:lineRule="exact"/>
              <w:jc w:val="center"/>
              <w:rPr>
                <w:rFonts w:ascii="Calibri" w:hAnsi="Calibri" w:cs="Arial"/>
              </w:rPr>
            </w:pPr>
            <w:r>
              <w:rPr>
                <w:rFonts w:ascii="Calibri" w:hAnsi="Calibri" w:cs="Calibri"/>
                <w:color w:val="000000"/>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34363394" w14:textId="31ADE871" w:rsidR="00F762C2" w:rsidRPr="007C3132" w:rsidRDefault="00F762C2" w:rsidP="00F762C2">
            <w:pPr>
              <w:spacing w:after="0" w:line="240" w:lineRule="exact"/>
              <w:jc w:val="center"/>
              <w:rPr>
                <w:rFonts w:ascii="Calibri" w:hAnsi="Calibri" w:cs="Arial"/>
              </w:rPr>
            </w:pPr>
            <w:r>
              <w:rPr>
                <w:rFonts w:ascii="Calibri" w:hAnsi="Calibri" w:cs="Calibri"/>
                <w:color w:val="000000"/>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E657522" w14:textId="77BB0127" w:rsidR="00F762C2" w:rsidRPr="007C3132" w:rsidRDefault="00F762C2" w:rsidP="00F762C2">
            <w:pPr>
              <w:spacing w:after="0" w:line="240" w:lineRule="exact"/>
              <w:jc w:val="center"/>
              <w:rPr>
                <w:rFonts w:ascii="Calibri" w:hAnsi="Calibri" w:cs="Arial"/>
              </w:rPr>
            </w:pPr>
            <w:r>
              <w:rPr>
                <w:rFonts w:ascii="Calibri" w:hAnsi="Calibri" w:cs="Calibri"/>
                <w:color w:val="000000"/>
              </w:rPr>
              <w:t>2</w:t>
            </w:r>
          </w:p>
        </w:tc>
      </w:tr>
      <w:tr w:rsidR="00F762C2" w:rsidRPr="00BA1DE5" w14:paraId="4A93B0DE" w14:textId="77777777" w:rsidTr="009C7D16">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24FA50C0" w14:textId="77777777" w:rsidR="00F762C2" w:rsidRPr="00BA1DE5" w:rsidRDefault="00F762C2" w:rsidP="00F762C2">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14:paraId="31F897B0" w14:textId="0B8646DB" w:rsidR="00F762C2" w:rsidRPr="007C3132" w:rsidRDefault="00F762C2" w:rsidP="00F762C2">
            <w:pPr>
              <w:spacing w:after="0" w:line="240" w:lineRule="exact"/>
              <w:jc w:val="center"/>
              <w:rPr>
                <w:rFonts w:ascii="Calibri" w:hAnsi="Calibri" w:cs="Arial"/>
              </w:rPr>
            </w:pPr>
            <w:r>
              <w:rPr>
                <w:rFonts w:ascii="Calibri" w:hAnsi="Calibri" w:cs="Calibri"/>
                <w:color w:val="000000"/>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28E00EC9" w14:textId="2268295A" w:rsidR="00F762C2" w:rsidRPr="007C3132" w:rsidRDefault="00F762C2" w:rsidP="00F762C2">
            <w:pPr>
              <w:spacing w:after="0" w:line="240" w:lineRule="exact"/>
              <w:jc w:val="center"/>
              <w:rPr>
                <w:rFonts w:ascii="Calibri" w:hAnsi="Calibri" w:cs="Arial"/>
              </w:rPr>
            </w:pPr>
            <w:r>
              <w:rPr>
                <w:rFonts w:ascii="Calibri" w:hAnsi="Calibri" w:cs="Calibri"/>
                <w:color w:val="000000"/>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6A3F250" w14:textId="5A3F4E13" w:rsidR="00F762C2" w:rsidRPr="007C3132" w:rsidRDefault="00F762C2" w:rsidP="00F762C2">
            <w:pPr>
              <w:spacing w:after="0" w:line="240" w:lineRule="exact"/>
              <w:jc w:val="center"/>
              <w:rPr>
                <w:rFonts w:ascii="Calibri" w:hAnsi="Calibri" w:cs="Arial"/>
              </w:rPr>
            </w:pPr>
            <w:r>
              <w:rPr>
                <w:rFonts w:ascii="Calibri" w:hAnsi="Calibri" w:cs="Calibri"/>
                <w:color w:val="000000"/>
              </w:rPr>
              <w:t>4</w:t>
            </w:r>
          </w:p>
        </w:tc>
      </w:tr>
      <w:tr w:rsidR="00F762C2" w:rsidRPr="00BA1DE5" w14:paraId="285540E2" w14:textId="77777777" w:rsidTr="009C7D16">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1EF50B45" w14:textId="77777777" w:rsidR="00F762C2" w:rsidRPr="00BA1DE5" w:rsidRDefault="00F762C2" w:rsidP="00F762C2">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14:paraId="39BE08A5" w14:textId="49A31242" w:rsidR="00F762C2" w:rsidRPr="007C3132" w:rsidRDefault="00F762C2" w:rsidP="00F762C2">
            <w:pPr>
              <w:spacing w:after="0" w:line="240" w:lineRule="exact"/>
              <w:jc w:val="center"/>
              <w:rPr>
                <w:rFonts w:ascii="Calibri" w:hAnsi="Calibri" w:cs="Arial"/>
              </w:rPr>
            </w:pPr>
            <w:r>
              <w:rPr>
                <w:rFonts w:ascii="Calibri" w:hAnsi="Calibri" w:cs="Calibri"/>
                <w:color w:val="000000"/>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4A5E6CB8" w14:textId="10004246" w:rsidR="00F762C2" w:rsidRPr="007C3132" w:rsidRDefault="00F762C2" w:rsidP="00F762C2">
            <w:pPr>
              <w:spacing w:after="0" w:line="240" w:lineRule="exact"/>
              <w:jc w:val="center"/>
              <w:rPr>
                <w:rFonts w:ascii="Calibri" w:hAnsi="Calibri" w:cs="Arial"/>
              </w:rPr>
            </w:pPr>
            <w:r>
              <w:rPr>
                <w:rFonts w:ascii="Calibri" w:hAnsi="Calibri" w:cs="Calibri"/>
                <w:color w:val="000000"/>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37DB353" w14:textId="74FB382A" w:rsidR="00F762C2" w:rsidRPr="007C3132" w:rsidRDefault="00F762C2" w:rsidP="00F762C2">
            <w:pPr>
              <w:spacing w:after="0" w:line="240" w:lineRule="exact"/>
              <w:jc w:val="center"/>
              <w:rPr>
                <w:rFonts w:ascii="Calibri" w:hAnsi="Calibri" w:cs="Arial"/>
              </w:rPr>
            </w:pPr>
            <w:r>
              <w:rPr>
                <w:rFonts w:ascii="Calibri" w:hAnsi="Calibri" w:cs="Calibri"/>
                <w:color w:val="000000"/>
              </w:rPr>
              <w:t>4</w:t>
            </w:r>
          </w:p>
        </w:tc>
      </w:tr>
      <w:tr w:rsidR="00F762C2" w:rsidRPr="00BA1DE5" w14:paraId="18944745" w14:textId="77777777" w:rsidTr="009C7D16">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69A6EDC0" w14:textId="77777777" w:rsidR="00F762C2" w:rsidRPr="00BA1DE5" w:rsidRDefault="00F762C2" w:rsidP="00F762C2">
            <w:pPr>
              <w:spacing w:after="0" w:line="240" w:lineRule="exact"/>
              <w:rPr>
                <w:rFonts w:ascii="Calibri" w:hAnsi="Calibri" w:cs="Arial"/>
              </w:rPr>
            </w:pPr>
            <w:r w:rsidRPr="00BA1DE5">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vAlign w:val="center"/>
          </w:tcPr>
          <w:p w14:paraId="43FBBBD0" w14:textId="64A6A10F" w:rsidR="00F762C2" w:rsidRPr="00A23B98" w:rsidRDefault="00F762C2" w:rsidP="00F762C2">
            <w:pPr>
              <w:spacing w:after="0" w:line="240" w:lineRule="exact"/>
              <w:jc w:val="center"/>
              <w:rPr>
                <w:rFonts w:ascii="Calibri" w:hAnsi="Calibri" w:cs="Arial"/>
              </w:rPr>
            </w:pPr>
            <w:r>
              <w:rPr>
                <w:rFonts w:ascii="Calibri" w:hAnsi="Calibri" w:cs="Calibri"/>
                <w:color w:val="000000"/>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vAlign w:val="center"/>
          </w:tcPr>
          <w:p w14:paraId="2B60E4F8" w14:textId="677DBBC0" w:rsidR="00F762C2" w:rsidRPr="00A23B98" w:rsidRDefault="00F762C2" w:rsidP="00F762C2">
            <w:pPr>
              <w:spacing w:after="0" w:line="240" w:lineRule="exact"/>
              <w:jc w:val="center"/>
              <w:rPr>
                <w:rFonts w:ascii="Calibri" w:hAnsi="Calibri" w:cs="Arial"/>
              </w:rPr>
            </w:pPr>
            <w:r>
              <w:rPr>
                <w:rFonts w:ascii="Calibri" w:hAnsi="Calibri" w:cs="Calibri"/>
                <w:color w:val="000000"/>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F3CBFBB" w14:textId="5D98A5E4" w:rsidR="00F762C2" w:rsidRPr="00A23B98" w:rsidRDefault="00F762C2" w:rsidP="00F762C2">
            <w:pPr>
              <w:spacing w:after="0" w:line="240" w:lineRule="exact"/>
              <w:jc w:val="center"/>
              <w:rPr>
                <w:rFonts w:ascii="Calibri" w:hAnsi="Calibri" w:cs="Arial"/>
              </w:rPr>
            </w:pPr>
            <w:r>
              <w:rPr>
                <w:rFonts w:ascii="Calibri" w:hAnsi="Calibri" w:cs="Calibri"/>
                <w:color w:val="000000"/>
              </w:rPr>
              <w:t>1</w:t>
            </w:r>
          </w:p>
        </w:tc>
      </w:tr>
      <w:tr w:rsidR="00F762C2" w:rsidRPr="00BA1DE5" w14:paraId="2032DCB3" w14:textId="77777777" w:rsidTr="009C7D16">
        <w:tc>
          <w:tcPr>
            <w:tcW w:w="3505" w:type="dxa"/>
            <w:gridSpan w:val="2"/>
            <w:tcBorders>
              <w:top w:val="single" w:sz="4" w:space="0" w:color="000000"/>
              <w:left w:val="single" w:sz="4" w:space="0" w:color="000000"/>
              <w:bottom w:val="single" w:sz="4" w:space="0" w:color="FFFFFF" w:themeColor="background1"/>
              <w:right w:val="single" w:sz="4" w:space="0" w:color="auto"/>
            </w:tcBorders>
            <w:shd w:val="clear" w:color="auto" w:fill="FFFFFF"/>
          </w:tcPr>
          <w:p w14:paraId="0B7EEFD8" w14:textId="77777777" w:rsidR="00F762C2" w:rsidRPr="00BA1DE5" w:rsidRDefault="00F762C2" w:rsidP="00F762C2">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vAlign w:val="center"/>
          </w:tcPr>
          <w:p w14:paraId="1FC3F9C7" w14:textId="4115A06E" w:rsidR="00F762C2" w:rsidRPr="00A23B98" w:rsidRDefault="00F762C2" w:rsidP="00F762C2">
            <w:pPr>
              <w:spacing w:after="0" w:line="240" w:lineRule="exact"/>
              <w:jc w:val="center"/>
              <w:rPr>
                <w:rFonts w:ascii="Calibri" w:hAnsi="Calibri" w:cs="Arial"/>
              </w:rPr>
            </w:pPr>
            <w:r>
              <w:rPr>
                <w:rFonts w:ascii="Calibri" w:hAnsi="Calibri" w:cs="Calibri"/>
                <w:color w:val="000000"/>
              </w:rPr>
              <w:t>2</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vAlign w:val="center"/>
          </w:tcPr>
          <w:p w14:paraId="3C5205A2" w14:textId="3F051CBC" w:rsidR="00F762C2" w:rsidRPr="00A23B98" w:rsidRDefault="00F762C2" w:rsidP="00F762C2">
            <w:pPr>
              <w:spacing w:after="0" w:line="240" w:lineRule="exact"/>
              <w:jc w:val="center"/>
              <w:rPr>
                <w:rFonts w:ascii="Calibri" w:hAnsi="Calibri" w:cs="Arial"/>
              </w:rPr>
            </w:pPr>
            <w:r>
              <w:rPr>
                <w:rFonts w:ascii="Calibri" w:hAnsi="Calibri" w:cs="Calibri"/>
                <w:color w:val="000000"/>
              </w:rPr>
              <w:t>1</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vAlign w:val="center"/>
          </w:tcPr>
          <w:p w14:paraId="31AEF67D" w14:textId="3241D4C5" w:rsidR="00F762C2" w:rsidRPr="00A23B98" w:rsidRDefault="00F762C2" w:rsidP="00F762C2">
            <w:pPr>
              <w:spacing w:after="0" w:line="240" w:lineRule="exact"/>
              <w:jc w:val="center"/>
              <w:rPr>
                <w:rFonts w:ascii="Calibri" w:hAnsi="Calibri" w:cs="Arial"/>
              </w:rPr>
            </w:pPr>
            <w:r>
              <w:rPr>
                <w:rFonts w:ascii="Calibri" w:hAnsi="Calibri" w:cs="Calibri"/>
                <w:color w:val="000000"/>
              </w:rPr>
              <w:t>2</w:t>
            </w:r>
          </w:p>
        </w:tc>
      </w:tr>
      <w:tr w:rsidR="00F762C2" w:rsidRPr="00BA1DE5" w14:paraId="050F293E" w14:textId="77777777" w:rsidTr="009C7D16">
        <w:trPr>
          <w:trHeight w:val="107"/>
        </w:trPr>
        <w:tc>
          <w:tcPr>
            <w:tcW w:w="350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F4ADB01" w14:textId="77777777" w:rsidR="00F762C2" w:rsidRPr="00BA1DE5" w:rsidRDefault="00F762C2" w:rsidP="00F762C2">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vAlign w:val="center"/>
          </w:tcPr>
          <w:p w14:paraId="55C08FCD" w14:textId="228C5FA9" w:rsidR="00F762C2" w:rsidRPr="00BA1DE5" w:rsidRDefault="00F762C2" w:rsidP="00F762C2">
            <w:pPr>
              <w:spacing w:after="0" w:line="240" w:lineRule="exact"/>
              <w:rPr>
                <w:rFonts w:ascii="Calibri" w:hAnsi="Calibri" w:cs="Arial"/>
                <w:b/>
              </w:rPr>
            </w:pPr>
            <w:r>
              <w:rPr>
                <w:rFonts w:ascii="Calibri" w:hAnsi="Calibri" w:cs="Calibri"/>
                <w:color w:val="000000"/>
              </w:rPr>
              <w:t>4</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vAlign w:val="center"/>
          </w:tcPr>
          <w:p w14:paraId="57598E87" w14:textId="7E3EA4EA" w:rsidR="00F762C2" w:rsidRPr="00BA1DE5" w:rsidRDefault="00F762C2" w:rsidP="00F762C2">
            <w:pPr>
              <w:spacing w:after="0" w:line="240" w:lineRule="exact"/>
              <w:rPr>
                <w:rFonts w:ascii="Calibri" w:hAnsi="Calibri" w:cs="Arial"/>
                <w:b/>
              </w:rPr>
            </w:pPr>
            <w:r>
              <w:rPr>
                <w:rFonts w:ascii="Calibri" w:hAnsi="Calibri" w:cs="Calibri"/>
                <w:color w:val="000000"/>
              </w:rPr>
              <w:t>1</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vAlign w:val="center"/>
          </w:tcPr>
          <w:p w14:paraId="21BDAFD4" w14:textId="5A64C291" w:rsidR="00F762C2" w:rsidRPr="00BA1DE5" w:rsidRDefault="00F762C2" w:rsidP="00F762C2">
            <w:pPr>
              <w:spacing w:after="0" w:line="240" w:lineRule="exact"/>
              <w:jc w:val="center"/>
              <w:rPr>
                <w:rFonts w:ascii="Calibri" w:hAnsi="Calibri" w:cs="Arial"/>
                <w:b/>
              </w:rPr>
            </w:pPr>
            <w:r>
              <w:rPr>
                <w:rFonts w:ascii="Calibri" w:hAnsi="Calibri" w:cs="Calibri"/>
                <w:color w:val="000000"/>
              </w:rPr>
              <w:t>4</w:t>
            </w:r>
            <w:r>
              <w:rPr>
                <w:rFonts w:ascii="Calibri" w:hAnsi="Calibri" w:cs="Arial"/>
                <w:b/>
              </w:rPr>
              <w:t>100</w:t>
            </w:r>
          </w:p>
        </w:tc>
      </w:tr>
      <w:tr w:rsidR="00E12B1B" w:rsidRPr="00BA1DE5" w14:paraId="7654CF65" w14:textId="77777777" w:rsidTr="001E3C40">
        <w:tc>
          <w:tcPr>
            <w:tcW w:w="8856"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1ADDF1B" w14:textId="77777777" w:rsidR="00E12B1B" w:rsidRPr="00BA1DE5" w:rsidRDefault="00E12B1B" w:rsidP="001E3C40">
            <w:pPr>
              <w:spacing w:after="0"/>
              <w:rPr>
                <w:rFonts w:ascii="Calibri" w:hAnsi="Calibri" w:cs="Arial"/>
                <w:b/>
              </w:rPr>
            </w:pPr>
          </w:p>
        </w:tc>
      </w:tr>
      <w:tr w:rsidR="007E45F5" w:rsidRPr="00BA1DE5" w14:paraId="5DB283C6" w14:textId="77777777" w:rsidTr="007E45F5">
        <w:tc>
          <w:tcPr>
            <w:tcW w:w="2235" w:type="dxa"/>
            <w:tcBorders>
              <w:top w:val="single" w:sz="4" w:space="0" w:color="FFFFFF" w:themeColor="background1"/>
              <w:left w:val="single" w:sz="4" w:space="0" w:color="000000"/>
              <w:bottom w:val="single" w:sz="4" w:space="0" w:color="000000"/>
              <w:right w:val="single" w:sz="4" w:space="0" w:color="000000"/>
            </w:tcBorders>
          </w:tcPr>
          <w:p w14:paraId="2EA54590" w14:textId="77777777" w:rsidR="007E45F5" w:rsidRPr="00BA1DE5" w:rsidRDefault="007E45F5" w:rsidP="007E45F5">
            <w:pPr>
              <w:pStyle w:val="NoSpacing"/>
              <w:rPr>
                <w:rFonts w:ascii="Calibri" w:hAnsi="Calibri"/>
                <w:b/>
                <w:lang w:val="sq-AL"/>
              </w:rPr>
            </w:pPr>
            <w:r w:rsidRPr="00BA1DE5">
              <w:rPr>
                <w:rFonts w:ascii="Calibri" w:hAnsi="Calibri"/>
                <w:b/>
                <w:lang w:val="sq-AL"/>
              </w:rPr>
              <w:t xml:space="preserve">Metodat e mësimdhënies:  </w:t>
            </w:r>
          </w:p>
        </w:tc>
        <w:tc>
          <w:tcPr>
            <w:tcW w:w="6621" w:type="dxa"/>
            <w:gridSpan w:val="4"/>
            <w:tcBorders>
              <w:top w:val="single" w:sz="4" w:space="0" w:color="FFFFFF" w:themeColor="background1"/>
              <w:left w:val="single" w:sz="4" w:space="0" w:color="000000"/>
              <w:bottom w:val="single" w:sz="4" w:space="0" w:color="000000"/>
              <w:right w:val="single" w:sz="4" w:space="0" w:color="000000"/>
            </w:tcBorders>
          </w:tcPr>
          <w:p w14:paraId="3376AD06" w14:textId="77777777" w:rsidR="007E45F5" w:rsidRPr="00AA25AE" w:rsidRDefault="007E45F5" w:rsidP="007E45F5">
            <w:pPr>
              <w:spacing w:line="240" w:lineRule="auto"/>
              <w:contextualSpacing/>
              <w:rPr>
                <w:rFonts w:ascii="Times New Roman" w:hAnsi="Times New Roman" w:cs="Times New Roman"/>
                <w:sz w:val="20"/>
                <w:szCs w:val="20"/>
              </w:rPr>
            </w:pPr>
            <w:r w:rsidRPr="00AA25AE">
              <w:rPr>
                <w:rFonts w:ascii="Times New Roman" w:hAnsi="Times New Roman" w:cs="Times New Roman"/>
                <w:sz w:val="20"/>
                <w:szCs w:val="20"/>
              </w:rPr>
              <w:t>Ligjerata dhe diskutime në klasë;</w:t>
            </w:r>
          </w:p>
          <w:p w14:paraId="6AD8A0F5" w14:textId="77777777" w:rsidR="007E45F5" w:rsidRPr="00AA25AE" w:rsidRDefault="007E45F5" w:rsidP="007E45F5">
            <w:pPr>
              <w:spacing w:line="240" w:lineRule="auto"/>
              <w:contextualSpacing/>
              <w:rPr>
                <w:rFonts w:ascii="Times New Roman" w:hAnsi="Times New Roman" w:cs="Times New Roman"/>
                <w:sz w:val="20"/>
                <w:szCs w:val="20"/>
              </w:rPr>
            </w:pPr>
            <w:r w:rsidRPr="00AA25AE">
              <w:rPr>
                <w:rFonts w:ascii="Times New Roman" w:hAnsi="Times New Roman" w:cs="Times New Roman"/>
                <w:sz w:val="20"/>
                <w:szCs w:val="20"/>
              </w:rPr>
              <w:t>Punëtori me ligjërues të ftuar;</w:t>
            </w:r>
          </w:p>
          <w:p w14:paraId="13A3D8C8" w14:textId="77777777" w:rsidR="007E45F5" w:rsidRPr="00AA25AE" w:rsidRDefault="007E45F5" w:rsidP="007E45F5">
            <w:pPr>
              <w:spacing w:line="240" w:lineRule="auto"/>
              <w:contextualSpacing/>
              <w:rPr>
                <w:rFonts w:ascii="Times New Roman" w:hAnsi="Times New Roman" w:cs="Times New Roman"/>
                <w:sz w:val="20"/>
                <w:szCs w:val="20"/>
              </w:rPr>
            </w:pPr>
            <w:r w:rsidRPr="00AA25AE">
              <w:rPr>
                <w:rFonts w:ascii="Times New Roman" w:hAnsi="Times New Roman" w:cs="Times New Roman"/>
                <w:sz w:val="20"/>
                <w:szCs w:val="20"/>
              </w:rPr>
              <w:t>Projekt/seminar hulumtues si detyrë semestrale;</w:t>
            </w:r>
          </w:p>
          <w:p w14:paraId="40537B6B" w14:textId="0FC03B37" w:rsidR="007E45F5" w:rsidRPr="00FD3493" w:rsidRDefault="007E45F5" w:rsidP="007E45F5">
            <w:pPr>
              <w:pStyle w:val="ListParagraph"/>
              <w:numPr>
                <w:ilvl w:val="0"/>
                <w:numId w:val="2"/>
              </w:numPr>
              <w:spacing w:after="0" w:line="240" w:lineRule="auto"/>
              <w:ind w:left="365" w:hanging="180"/>
              <w:rPr>
                <w:rFonts w:ascii="Calibri" w:hAnsi="Calibri"/>
                <w:sz w:val="20"/>
                <w:szCs w:val="20"/>
              </w:rPr>
            </w:pPr>
            <w:r w:rsidRPr="00AA25AE">
              <w:rPr>
                <w:rFonts w:ascii="Times New Roman" w:hAnsi="Times New Roman" w:cs="Times New Roman"/>
                <w:sz w:val="20"/>
                <w:szCs w:val="20"/>
              </w:rPr>
              <w:t>Prezantime gjatë orëve të ushtrimeve mbi temat e hulumtimit</w:t>
            </w:r>
          </w:p>
        </w:tc>
      </w:tr>
      <w:tr w:rsidR="007E45F5" w:rsidRPr="00BA1DE5" w14:paraId="1C29A7A4" w14:textId="77777777" w:rsidTr="007E45F5">
        <w:tc>
          <w:tcPr>
            <w:tcW w:w="2235" w:type="dxa"/>
            <w:tcBorders>
              <w:top w:val="single" w:sz="4" w:space="0" w:color="000000"/>
              <w:left w:val="single" w:sz="4" w:space="0" w:color="000000"/>
              <w:bottom w:val="single" w:sz="4" w:space="0" w:color="000000"/>
              <w:right w:val="single" w:sz="4" w:space="0" w:color="000000"/>
            </w:tcBorders>
          </w:tcPr>
          <w:p w14:paraId="24761CD8" w14:textId="77777777" w:rsidR="007E45F5" w:rsidRPr="00BA1DE5" w:rsidRDefault="007E45F5" w:rsidP="007E45F5">
            <w:pPr>
              <w:pStyle w:val="NoSpacing"/>
              <w:spacing w:line="240" w:lineRule="exact"/>
              <w:rPr>
                <w:rFonts w:ascii="Calibri" w:hAnsi="Calibri"/>
                <w:b/>
                <w:lang w:val="sq-AL"/>
              </w:rPr>
            </w:pPr>
            <w:r w:rsidRPr="00BA1DE5">
              <w:rPr>
                <w:rFonts w:ascii="Calibri" w:hAnsi="Calibri"/>
                <w:b/>
                <w:lang w:val="sq-AL"/>
              </w:rPr>
              <w:t>Metodat e vlerësimit:</w:t>
            </w:r>
          </w:p>
        </w:tc>
        <w:tc>
          <w:tcPr>
            <w:tcW w:w="6621" w:type="dxa"/>
            <w:gridSpan w:val="4"/>
            <w:tcBorders>
              <w:top w:val="single" w:sz="4" w:space="0" w:color="000000"/>
              <w:left w:val="single" w:sz="4" w:space="0" w:color="000000"/>
              <w:bottom w:val="single" w:sz="4" w:space="0" w:color="000000"/>
              <w:right w:val="single" w:sz="4" w:space="0" w:color="000000"/>
            </w:tcBorders>
          </w:tcPr>
          <w:p w14:paraId="5A736BE4" w14:textId="77777777" w:rsidR="007E45F5" w:rsidRPr="00AA25AE" w:rsidRDefault="007E45F5" w:rsidP="007E45F5">
            <w:pPr>
              <w:spacing w:line="240" w:lineRule="auto"/>
              <w:contextualSpacing/>
              <w:rPr>
                <w:rFonts w:ascii="Times New Roman" w:hAnsi="Times New Roman" w:cs="Times New Roman"/>
                <w:sz w:val="20"/>
                <w:szCs w:val="20"/>
              </w:rPr>
            </w:pPr>
            <w:r w:rsidRPr="00AA25AE">
              <w:rPr>
                <w:rFonts w:ascii="Times New Roman" w:hAnsi="Times New Roman" w:cs="Times New Roman"/>
                <w:sz w:val="20"/>
                <w:szCs w:val="20"/>
              </w:rPr>
              <w:t>Detyra semestrale: projekti/seminari hulumtues dhe prezantimet – 60%</w:t>
            </w:r>
          </w:p>
          <w:p w14:paraId="18FEFEB8" w14:textId="77777777" w:rsidR="007E45F5" w:rsidRPr="00AA25AE" w:rsidRDefault="007E45F5" w:rsidP="007E45F5">
            <w:pPr>
              <w:spacing w:line="240" w:lineRule="auto"/>
              <w:contextualSpacing/>
              <w:rPr>
                <w:rFonts w:ascii="Times New Roman" w:hAnsi="Times New Roman" w:cs="Times New Roman"/>
                <w:sz w:val="20"/>
                <w:szCs w:val="20"/>
              </w:rPr>
            </w:pPr>
            <w:r w:rsidRPr="00AA25AE">
              <w:rPr>
                <w:rFonts w:ascii="Times New Roman" w:hAnsi="Times New Roman" w:cs="Times New Roman"/>
                <w:sz w:val="20"/>
                <w:szCs w:val="20"/>
              </w:rPr>
              <w:t>Testet semestrale (2) ose provimi final – 30%</w:t>
            </w:r>
          </w:p>
          <w:p w14:paraId="097E9A1C" w14:textId="77777777" w:rsidR="007E45F5" w:rsidRPr="00AA25AE" w:rsidRDefault="007E45F5" w:rsidP="007E45F5">
            <w:pPr>
              <w:spacing w:line="240" w:lineRule="auto"/>
              <w:contextualSpacing/>
              <w:rPr>
                <w:rFonts w:ascii="Times New Roman" w:hAnsi="Times New Roman" w:cs="Times New Roman"/>
                <w:sz w:val="20"/>
                <w:szCs w:val="20"/>
              </w:rPr>
            </w:pPr>
            <w:r w:rsidRPr="00AA25AE">
              <w:rPr>
                <w:rFonts w:ascii="Times New Roman" w:hAnsi="Times New Roman" w:cs="Times New Roman"/>
                <w:sz w:val="20"/>
                <w:szCs w:val="20"/>
              </w:rPr>
              <w:t>Vijimi i rregullt dhe angazhimi aktiv në klasë – 10%</w:t>
            </w:r>
          </w:p>
          <w:p w14:paraId="3721864A" w14:textId="58EADFAA" w:rsidR="007E45F5" w:rsidRPr="006F79BF" w:rsidRDefault="007E45F5" w:rsidP="007E45F5">
            <w:pPr>
              <w:pStyle w:val="ListParagraph"/>
              <w:numPr>
                <w:ilvl w:val="0"/>
                <w:numId w:val="5"/>
              </w:numPr>
              <w:spacing w:after="0" w:line="240" w:lineRule="exact"/>
              <w:ind w:left="365" w:hanging="180"/>
              <w:rPr>
                <w:rFonts w:cstheme="minorHAnsi"/>
                <w:i/>
              </w:rPr>
            </w:pPr>
            <w:r w:rsidRPr="00AA25AE">
              <w:rPr>
                <w:rFonts w:ascii="Times New Roman" w:hAnsi="Times New Roman" w:cs="Times New Roman"/>
                <w:sz w:val="20"/>
                <w:szCs w:val="20"/>
              </w:rPr>
              <w:t xml:space="preserve">Totali – 100%   </w:t>
            </w:r>
          </w:p>
        </w:tc>
      </w:tr>
      <w:tr w:rsidR="00E12B1B" w:rsidRPr="00BA1DE5" w14:paraId="7872FA1D" w14:textId="77777777" w:rsidTr="001E3C40">
        <w:tc>
          <w:tcPr>
            <w:tcW w:w="8856" w:type="dxa"/>
            <w:gridSpan w:val="5"/>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511017E" w14:textId="77777777" w:rsidR="00E12B1B" w:rsidRPr="00BA1DE5" w:rsidRDefault="00E12B1B" w:rsidP="001E3C40">
            <w:pPr>
              <w:pStyle w:val="NoSpacing"/>
              <w:spacing w:line="240" w:lineRule="exact"/>
              <w:rPr>
                <w:rFonts w:asciiTheme="minorHAnsi" w:hAnsiTheme="minorHAnsi" w:cstheme="minorHAnsi"/>
                <w:b/>
                <w:sz w:val="22"/>
                <w:szCs w:val="22"/>
                <w:lang w:val="sq-AL"/>
              </w:rPr>
            </w:pPr>
          </w:p>
        </w:tc>
      </w:tr>
      <w:tr w:rsidR="007E45F5" w:rsidRPr="00BA1DE5" w14:paraId="13D26B83" w14:textId="77777777" w:rsidTr="007E45F5">
        <w:trPr>
          <w:trHeight w:val="458"/>
        </w:trPr>
        <w:tc>
          <w:tcPr>
            <w:tcW w:w="2235" w:type="dxa"/>
            <w:tcBorders>
              <w:top w:val="single" w:sz="4" w:space="0" w:color="000000"/>
              <w:left w:val="single" w:sz="4" w:space="0" w:color="000000"/>
              <w:bottom w:val="single" w:sz="4" w:space="0" w:color="000000"/>
              <w:right w:val="single" w:sz="4" w:space="0" w:color="000000"/>
            </w:tcBorders>
          </w:tcPr>
          <w:p w14:paraId="6DF22557" w14:textId="77777777" w:rsidR="007E45F5" w:rsidRPr="00BA1DE5" w:rsidRDefault="007E45F5" w:rsidP="007E45F5">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6621" w:type="dxa"/>
            <w:gridSpan w:val="4"/>
            <w:tcBorders>
              <w:top w:val="single" w:sz="4" w:space="0" w:color="000000"/>
              <w:left w:val="single" w:sz="4" w:space="0" w:color="000000"/>
              <w:bottom w:val="single" w:sz="4" w:space="0" w:color="000000"/>
              <w:right w:val="single" w:sz="4" w:space="0" w:color="000000"/>
            </w:tcBorders>
          </w:tcPr>
          <w:p w14:paraId="12E56855" w14:textId="77777777" w:rsidR="007E45F5" w:rsidRPr="00AA25AE" w:rsidRDefault="007E45F5" w:rsidP="007E45F5">
            <w:pPr>
              <w:spacing w:line="240" w:lineRule="auto"/>
              <w:contextualSpacing/>
              <w:outlineLvl w:val="0"/>
              <w:rPr>
                <w:rFonts w:ascii="Times New Roman" w:hAnsi="Times New Roman" w:cs="Times New Roman"/>
                <w:color w:val="000000" w:themeColor="text1"/>
                <w:kern w:val="36"/>
                <w:sz w:val="20"/>
                <w:szCs w:val="20"/>
              </w:rPr>
            </w:pPr>
            <w:r w:rsidRPr="00AA25AE">
              <w:rPr>
                <w:rFonts w:ascii="Times New Roman" w:hAnsi="Times New Roman" w:cs="Times New Roman"/>
                <w:sz w:val="20"/>
                <w:szCs w:val="20"/>
              </w:rPr>
              <w:t xml:space="preserve">1. Arendt, H. (1958). </w:t>
            </w:r>
            <w:r w:rsidRPr="00AA25AE">
              <w:rPr>
                <w:rFonts w:ascii="Times New Roman" w:hAnsi="Times New Roman" w:cs="Times New Roman"/>
                <w:i/>
                <w:iCs/>
                <w:sz w:val="20"/>
                <w:szCs w:val="20"/>
              </w:rPr>
              <w:t>The Human Conditions</w:t>
            </w:r>
            <w:r w:rsidRPr="00AA25AE">
              <w:rPr>
                <w:rFonts w:ascii="Times New Roman" w:hAnsi="Times New Roman" w:cs="Times New Roman"/>
                <w:sz w:val="20"/>
                <w:szCs w:val="20"/>
              </w:rPr>
              <w:t xml:space="preserve">. The University of Chicago Press. </w:t>
            </w:r>
            <w:r w:rsidRPr="00AA25AE">
              <w:rPr>
                <w:rFonts w:ascii="Times New Roman" w:hAnsi="Times New Roman" w:cs="Times New Roman"/>
                <w:color w:val="000000" w:themeColor="text1"/>
                <w:kern w:val="36"/>
                <w:sz w:val="20"/>
                <w:szCs w:val="20"/>
              </w:rPr>
              <w:t xml:space="preserve"> </w:t>
            </w:r>
          </w:p>
          <w:p w14:paraId="05E03357" w14:textId="77777777" w:rsidR="007E45F5" w:rsidRPr="00AA25AE" w:rsidRDefault="007E45F5" w:rsidP="007E45F5">
            <w:pPr>
              <w:spacing w:line="240" w:lineRule="auto"/>
              <w:contextualSpacing/>
              <w:outlineLvl w:val="0"/>
              <w:rPr>
                <w:rFonts w:ascii="Times New Roman" w:hAnsi="Times New Roman" w:cs="Times New Roman"/>
                <w:color w:val="000000" w:themeColor="text1"/>
                <w:kern w:val="36"/>
                <w:sz w:val="20"/>
                <w:szCs w:val="20"/>
              </w:rPr>
            </w:pPr>
            <w:r w:rsidRPr="00AA25AE">
              <w:rPr>
                <w:rFonts w:ascii="Times New Roman" w:hAnsi="Times New Roman" w:cs="Times New Roman"/>
                <w:color w:val="000000" w:themeColor="text1"/>
                <w:kern w:val="36"/>
                <w:sz w:val="20"/>
                <w:szCs w:val="20"/>
              </w:rPr>
              <w:t xml:space="preserve">2. Haberams, J. (1991). </w:t>
            </w:r>
            <w:r w:rsidRPr="00AA25AE">
              <w:rPr>
                <w:rFonts w:ascii="Times New Roman" w:hAnsi="Times New Roman" w:cs="Times New Roman"/>
                <w:i/>
                <w:iCs/>
                <w:color w:val="000000" w:themeColor="text1"/>
                <w:kern w:val="36"/>
                <w:sz w:val="20"/>
                <w:szCs w:val="20"/>
              </w:rPr>
              <w:t>The Structural Transformation of Public Sphere</w:t>
            </w:r>
            <w:r w:rsidRPr="00AA25AE">
              <w:rPr>
                <w:rFonts w:ascii="Times New Roman" w:hAnsi="Times New Roman" w:cs="Times New Roman"/>
                <w:color w:val="000000" w:themeColor="text1"/>
                <w:kern w:val="36"/>
                <w:sz w:val="20"/>
                <w:szCs w:val="20"/>
              </w:rPr>
              <w:t xml:space="preserve">. MIT Press. </w:t>
            </w:r>
          </w:p>
          <w:p w14:paraId="051E3566" w14:textId="77777777" w:rsidR="007E45F5" w:rsidRPr="00AA25AE" w:rsidRDefault="007E45F5" w:rsidP="007E45F5">
            <w:pPr>
              <w:spacing w:line="240" w:lineRule="auto"/>
              <w:contextualSpacing/>
              <w:rPr>
                <w:rFonts w:ascii="Times New Roman" w:hAnsi="Times New Roman" w:cs="Times New Roman"/>
                <w:color w:val="000000" w:themeColor="text1"/>
                <w:kern w:val="36"/>
                <w:sz w:val="20"/>
                <w:szCs w:val="20"/>
              </w:rPr>
            </w:pPr>
            <w:r w:rsidRPr="00AA25AE">
              <w:rPr>
                <w:rFonts w:ascii="Times New Roman" w:hAnsi="Times New Roman" w:cs="Times New Roman"/>
                <w:color w:val="000000" w:themeColor="text1"/>
                <w:kern w:val="36"/>
                <w:sz w:val="20"/>
                <w:szCs w:val="20"/>
              </w:rPr>
              <w:t xml:space="preserve">3. Sennett, R. (1977). </w:t>
            </w:r>
            <w:r w:rsidRPr="00AA25AE">
              <w:rPr>
                <w:rFonts w:ascii="Times New Roman" w:hAnsi="Times New Roman" w:cs="Times New Roman"/>
                <w:i/>
                <w:iCs/>
                <w:color w:val="000000" w:themeColor="text1"/>
                <w:kern w:val="36"/>
                <w:sz w:val="20"/>
                <w:szCs w:val="20"/>
              </w:rPr>
              <w:t>The Fall of Public Man</w:t>
            </w:r>
            <w:r w:rsidRPr="00AA25AE">
              <w:rPr>
                <w:rFonts w:ascii="Times New Roman" w:hAnsi="Times New Roman" w:cs="Times New Roman"/>
                <w:color w:val="000000" w:themeColor="text1"/>
                <w:kern w:val="36"/>
                <w:sz w:val="20"/>
                <w:szCs w:val="20"/>
              </w:rPr>
              <w:t xml:space="preserve">. Penguin Books. </w:t>
            </w:r>
          </w:p>
          <w:p w14:paraId="72F344A5" w14:textId="77777777" w:rsidR="007E45F5" w:rsidRPr="00AA25AE" w:rsidRDefault="007E45F5" w:rsidP="007E45F5">
            <w:pPr>
              <w:spacing w:line="240" w:lineRule="auto"/>
              <w:contextualSpacing/>
              <w:rPr>
                <w:rFonts w:ascii="Times New Roman" w:hAnsi="Times New Roman" w:cs="Times New Roman"/>
                <w:color w:val="000000" w:themeColor="text1"/>
                <w:kern w:val="36"/>
                <w:sz w:val="20"/>
                <w:szCs w:val="20"/>
              </w:rPr>
            </w:pPr>
            <w:r w:rsidRPr="00AA25AE">
              <w:rPr>
                <w:rFonts w:ascii="Times New Roman" w:hAnsi="Times New Roman" w:cs="Times New Roman"/>
                <w:sz w:val="20"/>
                <w:szCs w:val="20"/>
              </w:rPr>
              <w:t xml:space="preserve">4. Jacobs, J.  (1961). </w:t>
            </w:r>
            <w:r w:rsidRPr="00AA25AE">
              <w:rPr>
                <w:rFonts w:ascii="Times New Roman" w:hAnsi="Times New Roman" w:cs="Times New Roman"/>
                <w:i/>
                <w:sz w:val="20"/>
                <w:szCs w:val="20"/>
              </w:rPr>
              <w:t>The Death and Life of Great American Cities</w:t>
            </w:r>
            <w:r w:rsidRPr="00AA25AE">
              <w:rPr>
                <w:rFonts w:ascii="Times New Roman" w:hAnsi="Times New Roman" w:cs="Times New Roman"/>
                <w:iCs/>
                <w:sz w:val="20"/>
                <w:szCs w:val="20"/>
              </w:rPr>
              <w:t>.</w:t>
            </w:r>
            <w:r w:rsidRPr="00AA25AE">
              <w:rPr>
                <w:rFonts w:ascii="Times New Roman" w:hAnsi="Times New Roman" w:cs="Times New Roman"/>
                <w:sz w:val="20"/>
                <w:szCs w:val="20"/>
              </w:rPr>
              <w:t xml:space="preserve"> Random House Inc.</w:t>
            </w:r>
          </w:p>
          <w:p w14:paraId="799D6FCA" w14:textId="77777777" w:rsidR="007E45F5" w:rsidRPr="00AA25AE" w:rsidRDefault="007E45F5" w:rsidP="007E45F5">
            <w:pPr>
              <w:spacing w:line="240" w:lineRule="auto"/>
              <w:contextualSpacing/>
              <w:rPr>
                <w:rFonts w:ascii="Times New Roman" w:hAnsi="Times New Roman" w:cs="Times New Roman"/>
                <w:color w:val="000000" w:themeColor="text1"/>
                <w:kern w:val="36"/>
                <w:sz w:val="20"/>
                <w:szCs w:val="20"/>
              </w:rPr>
            </w:pPr>
            <w:r w:rsidRPr="00AA25AE">
              <w:rPr>
                <w:rFonts w:ascii="Times New Roman" w:hAnsi="Times New Roman" w:cs="Times New Roman"/>
                <w:sz w:val="20"/>
                <w:szCs w:val="20"/>
              </w:rPr>
              <w:t xml:space="preserve">5. Madanipour, A. (2003). </w:t>
            </w:r>
            <w:r w:rsidRPr="00AA25AE">
              <w:rPr>
                <w:rFonts w:ascii="Times New Roman" w:hAnsi="Times New Roman" w:cs="Times New Roman"/>
                <w:i/>
                <w:sz w:val="20"/>
                <w:szCs w:val="20"/>
              </w:rPr>
              <w:t>Public and Private Spaces of the City</w:t>
            </w:r>
            <w:r w:rsidRPr="00AA25AE">
              <w:rPr>
                <w:rFonts w:ascii="Times New Roman" w:hAnsi="Times New Roman" w:cs="Times New Roman"/>
                <w:iCs/>
                <w:sz w:val="20"/>
                <w:szCs w:val="20"/>
              </w:rPr>
              <w:t>.</w:t>
            </w:r>
            <w:r w:rsidRPr="00AA25AE">
              <w:rPr>
                <w:rFonts w:ascii="Times New Roman" w:hAnsi="Times New Roman" w:cs="Times New Roman"/>
                <w:sz w:val="20"/>
                <w:szCs w:val="20"/>
              </w:rPr>
              <w:t xml:space="preserve"> Routledge</w:t>
            </w:r>
            <w:r w:rsidRPr="00AA25AE">
              <w:rPr>
                <w:rFonts w:ascii="Times New Roman" w:hAnsi="Times New Roman" w:cs="Times New Roman"/>
                <w:color w:val="000000" w:themeColor="text1"/>
                <w:kern w:val="36"/>
                <w:sz w:val="20"/>
                <w:szCs w:val="20"/>
              </w:rPr>
              <w:t xml:space="preserve"> </w:t>
            </w:r>
          </w:p>
          <w:p w14:paraId="27D69058" w14:textId="77777777" w:rsidR="007E45F5" w:rsidRPr="00AA25AE" w:rsidRDefault="007E45F5" w:rsidP="007E45F5">
            <w:pPr>
              <w:spacing w:line="240" w:lineRule="auto"/>
              <w:contextualSpacing/>
              <w:rPr>
                <w:rFonts w:ascii="Times New Roman" w:hAnsi="Times New Roman" w:cs="Times New Roman"/>
                <w:color w:val="000000" w:themeColor="text1"/>
                <w:kern w:val="36"/>
                <w:sz w:val="20"/>
                <w:szCs w:val="20"/>
              </w:rPr>
            </w:pPr>
            <w:r w:rsidRPr="00AA25AE">
              <w:rPr>
                <w:rFonts w:ascii="Times New Roman" w:hAnsi="Times New Roman" w:cs="Times New Roman"/>
                <w:color w:val="000000" w:themeColor="text1"/>
                <w:kern w:val="36"/>
                <w:sz w:val="20"/>
                <w:szCs w:val="20"/>
              </w:rPr>
              <w:t xml:space="preserve">6. Gehl, J. (2010). </w:t>
            </w:r>
            <w:r w:rsidRPr="00AA25AE">
              <w:rPr>
                <w:rFonts w:ascii="Times New Roman" w:hAnsi="Times New Roman" w:cs="Times New Roman"/>
                <w:i/>
                <w:iCs/>
                <w:color w:val="000000" w:themeColor="text1"/>
                <w:kern w:val="36"/>
                <w:sz w:val="20"/>
                <w:szCs w:val="20"/>
              </w:rPr>
              <w:t>Cities for People</w:t>
            </w:r>
            <w:r w:rsidRPr="00AA25AE">
              <w:rPr>
                <w:rFonts w:ascii="Times New Roman" w:hAnsi="Times New Roman" w:cs="Times New Roman"/>
                <w:color w:val="000000" w:themeColor="text1"/>
                <w:kern w:val="36"/>
                <w:sz w:val="20"/>
                <w:szCs w:val="20"/>
              </w:rPr>
              <w:t>. Island Press.</w:t>
            </w:r>
          </w:p>
          <w:p w14:paraId="6D6C5276" w14:textId="77777777" w:rsidR="007E45F5" w:rsidRPr="00AA25AE" w:rsidRDefault="007E45F5" w:rsidP="007E45F5">
            <w:pPr>
              <w:spacing w:line="240" w:lineRule="auto"/>
              <w:contextualSpacing/>
              <w:rPr>
                <w:rFonts w:ascii="Times New Roman" w:hAnsi="Times New Roman" w:cs="Times New Roman"/>
                <w:color w:val="000000" w:themeColor="text1"/>
                <w:kern w:val="36"/>
                <w:sz w:val="20"/>
                <w:szCs w:val="20"/>
              </w:rPr>
            </w:pPr>
            <w:r w:rsidRPr="00AA25AE">
              <w:rPr>
                <w:rFonts w:ascii="Times New Roman" w:hAnsi="Times New Roman" w:cs="Times New Roman"/>
                <w:sz w:val="20"/>
                <w:szCs w:val="20"/>
              </w:rPr>
              <w:t xml:space="preserve">7. Henaff, M., &amp; Strong, T. (2001). </w:t>
            </w:r>
            <w:r w:rsidRPr="00AA25AE">
              <w:rPr>
                <w:rFonts w:ascii="Times New Roman" w:hAnsi="Times New Roman" w:cs="Times New Roman"/>
                <w:i/>
                <w:iCs/>
                <w:sz w:val="20"/>
                <w:szCs w:val="20"/>
              </w:rPr>
              <w:t>Public Space and Democracy</w:t>
            </w:r>
            <w:r w:rsidRPr="00AA25AE">
              <w:rPr>
                <w:rFonts w:ascii="Times New Roman" w:hAnsi="Times New Roman" w:cs="Times New Roman"/>
                <w:sz w:val="20"/>
                <w:szCs w:val="20"/>
              </w:rPr>
              <w:t xml:space="preserve">. University of Minnesota Press. </w:t>
            </w:r>
          </w:p>
          <w:p w14:paraId="6FA4788B" w14:textId="77777777" w:rsidR="007E45F5" w:rsidRPr="00AA25AE" w:rsidRDefault="007E45F5" w:rsidP="007E45F5">
            <w:pPr>
              <w:widowControl w:val="0"/>
              <w:autoSpaceDE w:val="0"/>
              <w:autoSpaceDN w:val="0"/>
              <w:adjustRightInd w:val="0"/>
              <w:spacing w:line="240" w:lineRule="auto"/>
              <w:contextualSpacing/>
              <w:rPr>
                <w:rFonts w:ascii="Times New Roman" w:hAnsi="Times New Roman" w:cs="Times New Roman"/>
                <w:color w:val="000000" w:themeColor="text1"/>
                <w:kern w:val="36"/>
                <w:sz w:val="20"/>
                <w:szCs w:val="20"/>
              </w:rPr>
            </w:pPr>
            <w:r w:rsidRPr="00AA25AE">
              <w:rPr>
                <w:rFonts w:ascii="Times New Roman" w:hAnsi="Times New Roman" w:cs="Times New Roman"/>
                <w:sz w:val="20"/>
                <w:szCs w:val="20"/>
              </w:rPr>
              <w:t xml:space="preserve">8. Carmona, M., De Magalhaes, C., &amp;  Hammond, L. (2008).  </w:t>
            </w:r>
            <w:r w:rsidRPr="00AA25AE">
              <w:rPr>
                <w:rFonts w:ascii="Times New Roman" w:hAnsi="Times New Roman" w:cs="Times New Roman"/>
                <w:i/>
                <w:iCs/>
                <w:sz w:val="20"/>
                <w:szCs w:val="20"/>
              </w:rPr>
              <w:t>Public Space, The Management Dimension</w:t>
            </w:r>
            <w:r w:rsidRPr="00AA25AE">
              <w:rPr>
                <w:rFonts w:ascii="Times New Roman" w:hAnsi="Times New Roman" w:cs="Times New Roman"/>
                <w:sz w:val="20"/>
                <w:szCs w:val="20"/>
              </w:rPr>
              <w:t xml:space="preserve">. Routledge. </w:t>
            </w:r>
          </w:p>
          <w:p w14:paraId="13B15A1F" w14:textId="77777777" w:rsidR="007E45F5" w:rsidRPr="00AA25AE" w:rsidRDefault="007E45F5" w:rsidP="007E45F5">
            <w:pPr>
              <w:widowControl w:val="0"/>
              <w:autoSpaceDE w:val="0"/>
              <w:autoSpaceDN w:val="0"/>
              <w:adjustRightInd w:val="0"/>
              <w:spacing w:line="240" w:lineRule="auto"/>
              <w:contextualSpacing/>
              <w:rPr>
                <w:rFonts w:ascii="Times New Roman" w:hAnsi="Times New Roman" w:cs="Times New Roman"/>
                <w:sz w:val="20"/>
                <w:szCs w:val="20"/>
              </w:rPr>
            </w:pPr>
            <w:r w:rsidRPr="00AA25AE">
              <w:rPr>
                <w:rFonts w:ascii="Times New Roman" w:hAnsi="Times New Roman" w:cs="Times New Roman"/>
                <w:sz w:val="20"/>
                <w:szCs w:val="20"/>
              </w:rPr>
              <w:t xml:space="preserve">9. Castells, M. (2000). </w:t>
            </w:r>
            <w:r w:rsidRPr="00AA25AE">
              <w:rPr>
                <w:rFonts w:ascii="Times New Roman" w:hAnsi="Times New Roman" w:cs="Times New Roman"/>
                <w:i/>
                <w:sz w:val="20"/>
                <w:szCs w:val="20"/>
              </w:rPr>
              <w:t>The rise of the network society</w:t>
            </w:r>
            <w:r w:rsidRPr="00AA25AE">
              <w:rPr>
                <w:rFonts w:ascii="Times New Roman" w:hAnsi="Times New Roman" w:cs="Times New Roman"/>
                <w:iCs/>
                <w:sz w:val="20"/>
                <w:szCs w:val="20"/>
              </w:rPr>
              <w:t xml:space="preserve">. </w:t>
            </w:r>
            <w:r w:rsidRPr="00AA25AE">
              <w:rPr>
                <w:rFonts w:ascii="Times New Roman" w:hAnsi="Times New Roman" w:cs="Times New Roman"/>
                <w:sz w:val="20"/>
                <w:szCs w:val="20"/>
              </w:rPr>
              <w:t>Blackwell Publishing.</w:t>
            </w:r>
          </w:p>
          <w:p w14:paraId="14E4425B" w14:textId="15DB00DA" w:rsidR="007E45F5" w:rsidRPr="00BA1DE5" w:rsidRDefault="007E45F5" w:rsidP="007E45F5">
            <w:pPr>
              <w:autoSpaceDE w:val="0"/>
              <w:autoSpaceDN w:val="0"/>
              <w:adjustRightInd w:val="0"/>
              <w:spacing w:after="0" w:line="240" w:lineRule="exact"/>
              <w:rPr>
                <w:bCs/>
                <w:lang w:eastAsia="mk-MK"/>
              </w:rPr>
            </w:pPr>
            <w:r w:rsidRPr="00AA25AE">
              <w:rPr>
                <w:rFonts w:ascii="Times New Roman" w:hAnsi="Times New Roman" w:cs="Times New Roman"/>
                <w:sz w:val="20"/>
                <w:szCs w:val="20"/>
              </w:rPr>
              <w:t xml:space="preserve">10. Harvey, D. (2006). The Political Economy of Public Space. In Low, S. M., &amp; Smith, N. </w:t>
            </w:r>
            <w:r w:rsidRPr="00AA25AE">
              <w:rPr>
                <w:rFonts w:ascii="Times New Roman" w:hAnsi="Times New Roman" w:cs="Times New Roman"/>
                <w:i/>
                <w:iCs/>
                <w:sz w:val="20"/>
                <w:szCs w:val="20"/>
              </w:rPr>
              <w:t xml:space="preserve">The Politics Of Public Space </w:t>
            </w:r>
            <w:r w:rsidRPr="00AA25AE">
              <w:rPr>
                <w:rFonts w:ascii="Times New Roman" w:hAnsi="Times New Roman" w:cs="Times New Roman"/>
                <w:sz w:val="20"/>
                <w:szCs w:val="20"/>
              </w:rPr>
              <w:t>(pp. 17-34)</w:t>
            </w:r>
            <w:r w:rsidRPr="00AA25AE">
              <w:rPr>
                <w:rFonts w:ascii="Times New Roman" w:hAnsi="Times New Roman" w:cs="Times New Roman"/>
                <w:i/>
                <w:iCs/>
                <w:sz w:val="20"/>
                <w:szCs w:val="20"/>
              </w:rPr>
              <w:t xml:space="preserve">. </w:t>
            </w:r>
            <w:r w:rsidRPr="00AA25AE">
              <w:rPr>
                <w:rFonts w:ascii="Times New Roman" w:hAnsi="Times New Roman" w:cs="Times New Roman"/>
                <w:sz w:val="20"/>
                <w:szCs w:val="20"/>
              </w:rPr>
              <w:t>Routledge.</w:t>
            </w:r>
          </w:p>
        </w:tc>
      </w:tr>
      <w:tr w:rsidR="007E45F5" w:rsidRPr="00BA1DE5" w14:paraId="6D3E0A62" w14:textId="77777777" w:rsidTr="007E45F5">
        <w:tc>
          <w:tcPr>
            <w:tcW w:w="2235" w:type="dxa"/>
            <w:tcBorders>
              <w:top w:val="single" w:sz="4" w:space="0" w:color="000000"/>
              <w:left w:val="single" w:sz="4" w:space="0" w:color="000000"/>
              <w:bottom w:val="single" w:sz="4" w:space="0" w:color="FFFFFF" w:themeColor="background1"/>
              <w:right w:val="single" w:sz="4" w:space="0" w:color="000000"/>
            </w:tcBorders>
          </w:tcPr>
          <w:p w14:paraId="0A733AE3" w14:textId="77777777" w:rsidR="007E45F5" w:rsidRPr="00BA1DE5" w:rsidRDefault="007E45F5" w:rsidP="007E45F5">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6621" w:type="dxa"/>
            <w:gridSpan w:val="4"/>
            <w:tcBorders>
              <w:top w:val="single" w:sz="4" w:space="0" w:color="000000"/>
              <w:left w:val="single" w:sz="4" w:space="0" w:color="000000"/>
              <w:bottom w:val="single" w:sz="4" w:space="0" w:color="FFFFFF" w:themeColor="background1"/>
              <w:right w:val="single" w:sz="4" w:space="0" w:color="000000"/>
            </w:tcBorders>
          </w:tcPr>
          <w:p w14:paraId="0D71EAB4" w14:textId="77777777" w:rsidR="007E45F5" w:rsidRPr="00AA25AE" w:rsidRDefault="007E45F5" w:rsidP="007E45F5">
            <w:pPr>
              <w:widowControl w:val="0"/>
              <w:autoSpaceDE w:val="0"/>
              <w:autoSpaceDN w:val="0"/>
              <w:adjustRightInd w:val="0"/>
              <w:spacing w:line="240" w:lineRule="auto"/>
              <w:contextualSpacing/>
              <w:rPr>
                <w:rFonts w:ascii="Times New Roman" w:hAnsi="Times New Roman" w:cs="Times New Roman"/>
                <w:color w:val="000000" w:themeColor="text1"/>
                <w:kern w:val="36"/>
                <w:sz w:val="20"/>
                <w:szCs w:val="20"/>
              </w:rPr>
            </w:pPr>
            <w:r w:rsidRPr="00AA25AE">
              <w:rPr>
                <w:rFonts w:ascii="Times New Roman" w:hAnsi="Times New Roman" w:cs="Times New Roman"/>
                <w:sz w:val="20"/>
                <w:szCs w:val="20"/>
              </w:rPr>
              <w:t xml:space="preserve">1. Carr, S., Francis, M., Rivlin, L. G., &amp; Stone, A. M. (1992). </w:t>
            </w:r>
            <w:r w:rsidRPr="00AA25AE">
              <w:rPr>
                <w:rFonts w:ascii="Times New Roman" w:hAnsi="Times New Roman" w:cs="Times New Roman"/>
                <w:i/>
                <w:iCs/>
                <w:sz w:val="20"/>
                <w:szCs w:val="20"/>
              </w:rPr>
              <w:t>Public space</w:t>
            </w:r>
            <w:r w:rsidRPr="00AA25AE">
              <w:rPr>
                <w:rFonts w:ascii="Times New Roman" w:hAnsi="Times New Roman" w:cs="Times New Roman"/>
                <w:sz w:val="20"/>
                <w:szCs w:val="20"/>
              </w:rPr>
              <w:t xml:space="preserve">. Cambridge University Press </w:t>
            </w:r>
          </w:p>
          <w:p w14:paraId="6645BE86" w14:textId="77777777" w:rsidR="007E45F5" w:rsidRPr="00AA25AE" w:rsidRDefault="007E45F5" w:rsidP="007E45F5">
            <w:pPr>
              <w:widowControl w:val="0"/>
              <w:autoSpaceDE w:val="0"/>
              <w:autoSpaceDN w:val="0"/>
              <w:adjustRightInd w:val="0"/>
              <w:spacing w:line="240" w:lineRule="auto"/>
              <w:contextualSpacing/>
              <w:rPr>
                <w:rFonts w:ascii="Times New Roman" w:hAnsi="Times New Roman" w:cs="Times New Roman"/>
                <w:color w:val="000000" w:themeColor="text1"/>
                <w:kern w:val="36"/>
                <w:sz w:val="20"/>
                <w:szCs w:val="20"/>
              </w:rPr>
            </w:pPr>
            <w:r w:rsidRPr="00AA25AE">
              <w:rPr>
                <w:rFonts w:ascii="Times New Roman" w:hAnsi="Times New Roman" w:cs="Times New Roman"/>
                <w:sz w:val="20"/>
                <w:szCs w:val="20"/>
              </w:rPr>
              <w:t xml:space="preserve">2. Markus, C. C., &amp; Francis C. (1998) </w:t>
            </w:r>
            <w:r w:rsidRPr="00AA25AE">
              <w:rPr>
                <w:rFonts w:ascii="Times New Roman" w:hAnsi="Times New Roman" w:cs="Times New Roman"/>
                <w:i/>
                <w:sz w:val="20"/>
                <w:szCs w:val="20"/>
              </w:rPr>
              <w:t>Peoples space:</w:t>
            </w:r>
            <w:r w:rsidRPr="00AA25AE">
              <w:rPr>
                <w:rFonts w:ascii="Times New Roman" w:hAnsi="Times New Roman" w:cs="Times New Roman"/>
                <w:i/>
                <w:color w:val="000000"/>
                <w:sz w:val="20"/>
                <w:szCs w:val="20"/>
              </w:rPr>
              <w:t xml:space="preserve"> Design Guidlines for Urban Open Space.</w:t>
            </w:r>
            <w:r w:rsidRPr="00AA25AE">
              <w:rPr>
                <w:rFonts w:ascii="Times New Roman" w:hAnsi="Times New Roman" w:cs="Times New Roman"/>
                <w:color w:val="000000"/>
                <w:sz w:val="20"/>
                <w:szCs w:val="20"/>
              </w:rPr>
              <w:t xml:space="preserve"> Wiley&amp;Sons</w:t>
            </w:r>
            <w:r w:rsidRPr="00AA25AE">
              <w:rPr>
                <w:rFonts w:ascii="Times New Roman" w:hAnsi="Times New Roman" w:cs="Times New Roman"/>
                <w:color w:val="000000" w:themeColor="text1"/>
                <w:kern w:val="36"/>
                <w:sz w:val="20"/>
                <w:szCs w:val="20"/>
              </w:rPr>
              <w:t xml:space="preserve"> </w:t>
            </w:r>
          </w:p>
          <w:p w14:paraId="786F9F45" w14:textId="1CAB114B" w:rsidR="007E45F5" w:rsidRPr="006F79BF" w:rsidRDefault="007E45F5" w:rsidP="007E45F5">
            <w:pPr>
              <w:pStyle w:val="ListParagraph"/>
              <w:widowControl w:val="0"/>
              <w:numPr>
                <w:ilvl w:val="0"/>
                <w:numId w:val="4"/>
              </w:numPr>
              <w:autoSpaceDE w:val="0"/>
              <w:autoSpaceDN w:val="0"/>
              <w:adjustRightInd w:val="0"/>
              <w:spacing w:after="0" w:line="240" w:lineRule="auto"/>
              <w:ind w:left="502" w:hanging="283"/>
              <w:contextualSpacing w:val="0"/>
              <w:rPr>
                <w:rFonts w:cs="Arial"/>
                <w:color w:val="000000" w:themeColor="text1"/>
                <w:kern w:val="36"/>
                <w:sz w:val="20"/>
                <w:szCs w:val="20"/>
              </w:rPr>
            </w:pPr>
            <w:r w:rsidRPr="00AA25AE">
              <w:rPr>
                <w:rFonts w:ascii="Times New Roman" w:hAnsi="Times New Roman" w:cs="Times New Roman"/>
                <w:sz w:val="20"/>
                <w:szCs w:val="20"/>
              </w:rPr>
              <w:t xml:space="preserve">3. Fraser, N. (1992). Rethinking the Public Sphere: A Contribution to the Critique of Actually Existing Democracy. In Calhoun, C. (Ed.), </w:t>
            </w:r>
            <w:r w:rsidRPr="00AA25AE">
              <w:rPr>
                <w:rFonts w:ascii="Times New Roman" w:hAnsi="Times New Roman" w:cs="Times New Roman"/>
                <w:i/>
                <w:iCs/>
                <w:sz w:val="20"/>
                <w:szCs w:val="20"/>
              </w:rPr>
              <w:t xml:space="preserve">Habermas and the Public Sphere </w:t>
            </w:r>
            <w:r w:rsidRPr="00AA25AE">
              <w:rPr>
                <w:rFonts w:ascii="Times New Roman" w:hAnsi="Times New Roman" w:cs="Times New Roman"/>
                <w:sz w:val="20"/>
                <w:szCs w:val="20"/>
              </w:rPr>
              <w:t xml:space="preserve">(pp.109-142). MIT Press. </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8"/>
        <w:gridCol w:w="7200"/>
      </w:tblGrid>
      <w:tr w:rsidR="009B26ED" w:rsidRPr="00BA1DE5" w14:paraId="76AF6A9B" w14:textId="77777777" w:rsidTr="009B26ED">
        <w:tc>
          <w:tcPr>
            <w:tcW w:w="16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93B38E2" w14:textId="77777777" w:rsidR="009B26ED" w:rsidRPr="00BA1DE5" w:rsidRDefault="009B26ED" w:rsidP="001E3C40">
            <w:pPr>
              <w:spacing w:after="0" w:line="240" w:lineRule="exact"/>
              <w:rPr>
                <w:rFonts w:ascii="Calibri" w:hAnsi="Calibri"/>
                <w:b/>
              </w:rPr>
            </w:pPr>
            <w:r w:rsidRPr="00BA1DE5">
              <w:rPr>
                <w:rFonts w:ascii="Calibri" w:hAnsi="Calibri"/>
                <w:b/>
              </w:rPr>
              <w:t>Java</w:t>
            </w:r>
          </w:p>
        </w:tc>
        <w:tc>
          <w:tcPr>
            <w:tcW w:w="7200"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2002317E" w14:textId="77777777" w:rsidR="009B26ED" w:rsidRPr="00BA1DE5" w:rsidRDefault="009B26ED" w:rsidP="001E3C40">
            <w:pPr>
              <w:spacing w:after="0" w:line="240" w:lineRule="exact"/>
              <w:rPr>
                <w:rFonts w:ascii="Calibri" w:hAnsi="Calibri"/>
                <w:b/>
              </w:rPr>
            </w:pPr>
            <w:r w:rsidRPr="00BA1DE5">
              <w:rPr>
                <w:rFonts w:ascii="Calibri" w:hAnsi="Calibri"/>
                <w:b/>
              </w:rPr>
              <w:t xml:space="preserve">Titulli i ligjëratës </w:t>
            </w:r>
          </w:p>
        </w:tc>
      </w:tr>
      <w:tr w:rsidR="009B26ED" w:rsidRPr="00BA1DE5" w14:paraId="531A768E" w14:textId="77777777" w:rsidTr="009B26ED">
        <w:tc>
          <w:tcPr>
            <w:tcW w:w="1638" w:type="dxa"/>
            <w:tcBorders>
              <w:top w:val="single" w:sz="4" w:space="0" w:color="FFFFFF" w:themeColor="background1"/>
              <w:left w:val="single" w:sz="4" w:space="0" w:color="000000"/>
              <w:bottom w:val="single" w:sz="4" w:space="0" w:color="000000"/>
              <w:right w:val="single" w:sz="4" w:space="0" w:color="000000"/>
            </w:tcBorders>
          </w:tcPr>
          <w:p w14:paraId="4299B492" w14:textId="77777777" w:rsidR="009B26ED" w:rsidRPr="00BA1DE5" w:rsidRDefault="009B26ED" w:rsidP="00140808">
            <w:pPr>
              <w:spacing w:after="0" w:line="240" w:lineRule="exact"/>
              <w:rPr>
                <w:rFonts w:ascii="Calibri" w:hAnsi="Calibri"/>
                <w:b/>
              </w:rPr>
            </w:pPr>
            <w:r w:rsidRPr="00BA1DE5">
              <w:rPr>
                <w:rFonts w:ascii="Calibri" w:hAnsi="Calibri"/>
                <w:b/>
                <w:i/>
              </w:rPr>
              <w:t>Java 1:</w:t>
            </w:r>
          </w:p>
        </w:tc>
        <w:tc>
          <w:tcPr>
            <w:tcW w:w="7200" w:type="dxa"/>
            <w:tcBorders>
              <w:top w:val="single" w:sz="4" w:space="0" w:color="FFFFFF" w:themeColor="background1"/>
              <w:left w:val="single" w:sz="4" w:space="0" w:color="000000"/>
              <w:bottom w:val="single" w:sz="4" w:space="0" w:color="000000"/>
              <w:right w:val="single" w:sz="4" w:space="0" w:color="auto"/>
            </w:tcBorders>
          </w:tcPr>
          <w:p w14:paraId="1DB10D0C" w14:textId="0A9262F9" w:rsidR="009B26ED" w:rsidRPr="005E3892" w:rsidRDefault="007E45F5" w:rsidP="00140808">
            <w:pPr>
              <w:spacing w:after="0" w:line="240" w:lineRule="exact"/>
              <w:jc w:val="both"/>
              <w:rPr>
                <w:color w:val="000000" w:themeColor="text1"/>
              </w:rPr>
            </w:pPr>
            <w:r>
              <w:rPr>
                <w:color w:val="000000" w:themeColor="text1"/>
              </w:rPr>
              <w:t>Hyrje</w:t>
            </w:r>
            <w:r w:rsidR="009B26ED" w:rsidRPr="005E3892">
              <w:rPr>
                <w:color w:val="000000" w:themeColor="text1"/>
              </w:rPr>
              <w:t xml:space="preserve"> n</w:t>
            </w:r>
            <w:r w:rsidR="009B26ED">
              <w:rPr>
                <w:color w:val="000000" w:themeColor="text1"/>
              </w:rPr>
              <w:t>ë</w:t>
            </w:r>
            <w:r w:rsidR="009B26ED" w:rsidRPr="005E3892">
              <w:rPr>
                <w:color w:val="000000" w:themeColor="text1"/>
              </w:rPr>
              <w:t xml:space="preserve"> l</w:t>
            </w:r>
            <w:r w:rsidR="009B26ED">
              <w:rPr>
                <w:color w:val="000000" w:themeColor="text1"/>
              </w:rPr>
              <w:t>ë</w:t>
            </w:r>
            <w:r w:rsidR="009B26ED" w:rsidRPr="005E3892">
              <w:rPr>
                <w:color w:val="000000" w:themeColor="text1"/>
              </w:rPr>
              <w:t>nd</w:t>
            </w:r>
            <w:r w:rsidR="009B26ED">
              <w:rPr>
                <w:color w:val="000000" w:themeColor="text1"/>
              </w:rPr>
              <w:t>ë</w:t>
            </w:r>
            <w:r w:rsidR="009B26ED" w:rsidRPr="005E3892">
              <w:rPr>
                <w:color w:val="000000" w:themeColor="text1"/>
              </w:rPr>
              <w:t>, shpjegimet dhe pritjet</w:t>
            </w:r>
          </w:p>
        </w:tc>
      </w:tr>
      <w:tr w:rsidR="009B26ED" w:rsidRPr="00BA1DE5" w14:paraId="64D03775"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39430DBD" w14:textId="77777777" w:rsidR="009B26ED" w:rsidRPr="00BA1DE5" w:rsidRDefault="009B26ED" w:rsidP="00140808">
            <w:pPr>
              <w:spacing w:after="0" w:line="240" w:lineRule="exact"/>
              <w:rPr>
                <w:rFonts w:ascii="Calibri" w:hAnsi="Calibri"/>
                <w:b/>
              </w:rPr>
            </w:pPr>
            <w:r w:rsidRPr="00BA1DE5">
              <w:rPr>
                <w:rFonts w:ascii="Calibri" w:hAnsi="Calibri"/>
                <w:b/>
                <w:i/>
              </w:rPr>
              <w:t>Java 2:</w:t>
            </w:r>
          </w:p>
        </w:tc>
        <w:tc>
          <w:tcPr>
            <w:tcW w:w="7200" w:type="dxa"/>
            <w:tcBorders>
              <w:top w:val="single" w:sz="4" w:space="0" w:color="000000"/>
              <w:left w:val="single" w:sz="4" w:space="0" w:color="000000"/>
              <w:bottom w:val="single" w:sz="4" w:space="0" w:color="000000"/>
              <w:right w:val="single" w:sz="4" w:space="0" w:color="auto"/>
            </w:tcBorders>
          </w:tcPr>
          <w:p w14:paraId="5C72D191" w14:textId="3A440431" w:rsidR="009B26ED" w:rsidRPr="005E3892" w:rsidRDefault="009B26ED" w:rsidP="00140808">
            <w:pPr>
              <w:spacing w:after="0" w:line="240" w:lineRule="exact"/>
              <w:jc w:val="both"/>
              <w:rPr>
                <w:color w:val="000000" w:themeColor="text1"/>
              </w:rPr>
            </w:pPr>
            <w:r w:rsidRPr="005E3892">
              <w:rPr>
                <w:color w:val="000000" w:themeColor="text1"/>
              </w:rPr>
              <w:t>Koncetet e hap</w:t>
            </w:r>
            <w:r>
              <w:rPr>
                <w:color w:val="000000" w:themeColor="text1"/>
              </w:rPr>
              <w:t>ë</w:t>
            </w:r>
            <w:r w:rsidRPr="005E3892">
              <w:rPr>
                <w:color w:val="000000" w:themeColor="text1"/>
              </w:rPr>
              <w:t>sir</w:t>
            </w:r>
            <w:r>
              <w:rPr>
                <w:color w:val="000000" w:themeColor="text1"/>
              </w:rPr>
              <w:t>ë</w:t>
            </w:r>
            <w:r w:rsidRPr="005E3892">
              <w:rPr>
                <w:color w:val="000000" w:themeColor="text1"/>
              </w:rPr>
              <w:t>s, hap</w:t>
            </w:r>
            <w:r>
              <w:rPr>
                <w:color w:val="000000" w:themeColor="text1"/>
              </w:rPr>
              <w:t>ë</w:t>
            </w:r>
            <w:r w:rsidRPr="005E3892">
              <w:rPr>
                <w:color w:val="000000" w:themeColor="text1"/>
              </w:rPr>
              <w:t>sira dhe koha</w:t>
            </w:r>
            <w:r w:rsidRPr="005E3892">
              <w:rPr>
                <w:rFonts w:cs="Arial"/>
                <w:bCs/>
                <w:color w:val="000000" w:themeColor="text1"/>
              </w:rPr>
              <w:t>, hap</w:t>
            </w:r>
            <w:r>
              <w:rPr>
                <w:rFonts w:cs="Arial"/>
                <w:bCs/>
                <w:color w:val="000000" w:themeColor="text1"/>
              </w:rPr>
              <w:t>ë</w:t>
            </w:r>
            <w:r w:rsidRPr="005E3892">
              <w:rPr>
                <w:rFonts w:cs="Arial"/>
                <w:bCs/>
                <w:color w:val="000000" w:themeColor="text1"/>
              </w:rPr>
              <w:t>sira dhe vendi</w:t>
            </w:r>
          </w:p>
        </w:tc>
      </w:tr>
      <w:tr w:rsidR="009B26ED" w:rsidRPr="00BA1DE5" w14:paraId="6573C8A8" w14:textId="77777777" w:rsidTr="009B26ED">
        <w:trPr>
          <w:trHeight w:val="193"/>
        </w:trPr>
        <w:tc>
          <w:tcPr>
            <w:tcW w:w="1638" w:type="dxa"/>
            <w:tcBorders>
              <w:top w:val="single" w:sz="4" w:space="0" w:color="000000"/>
              <w:left w:val="single" w:sz="4" w:space="0" w:color="000000"/>
              <w:bottom w:val="single" w:sz="4" w:space="0" w:color="000000"/>
              <w:right w:val="single" w:sz="4" w:space="0" w:color="000000"/>
            </w:tcBorders>
          </w:tcPr>
          <w:p w14:paraId="22EC612B" w14:textId="77777777" w:rsidR="009B26ED" w:rsidRPr="00BA1DE5" w:rsidRDefault="009B26ED" w:rsidP="00140808">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7200" w:type="dxa"/>
            <w:tcBorders>
              <w:top w:val="single" w:sz="4" w:space="0" w:color="000000"/>
              <w:left w:val="single" w:sz="4" w:space="0" w:color="000000"/>
              <w:bottom w:val="single" w:sz="4" w:space="0" w:color="000000"/>
              <w:right w:val="single" w:sz="4" w:space="0" w:color="auto"/>
            </w:tcBorders>
          </w:tcPr>
          <w:p w14:paraId="6158640B" w14:textId="61F163B3" w:rsidR="009B26ED" w:rsidRPr="005E3892" w:rsidRDefault="009B26ED" w:rsidP="0013715C">
            <w:pPr>
              <w:spacing w:after="0" w:line="240" w:lineRule="exact"/>
              <w:jc w:val="both"/>
              <w:rPr>
                <w:color w:val="000000" w:themeColor="text1"/>
              </w:rPr>
            </w:pPr>
            <w:r w:rsidRPr="005E3892">
              <w:rPr>
                <w:color w:val="000000" w:themeColor="text1"/>
              </w:rPr>
              <w:t>Hap</w:t>
            </w:r>
            <w:r>
              <w:rPr>
                <w:color w:val="000000" w:themeColor="text1"/>
              </w:rPr>
              <w:t>ë</w:t>
            </w:r>
            <w:r w:rsidRPr="005E3892">
              <w:rPr>
                <w:color w:val="000000" w:themeColor="text1"/>
              </w:rPr>
              <w:t xml:space="preserve">sira Urbane dhe sfera publike  </w:t>
            </w:r>
          </w:p>
        </w:tc>
      </w:tr>
      <w:tr w:rsidR="009B26ED" w:rsidRPr="00BA1DE5" w14:paraId="604170B4"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25E5D35D" w14:textId="77777777" w:rsidR="009B26ED" w:rsidRPr="00BA1DE5" w:rsidRDefault="009B26ED" w:rsidP="00140808">
            <w:pPr>
              <w:spacing w:after="0" w:line="240" w:lineRule="exact"/>
              <w:rPr>
                <w:rFonts w:ascii="Calibri" w:hAnsi="Calibri"/>
                <w:b/>
              </w:rPr>
            </w:pPr>
            <w:r w:rsidRPr="00BA1DE5">
              <w:rPr>
                <w:rFonts w:ascii="Calibri" w:hAnsi="Calibri"/>
                <w:b/>
                <w:i/>
              </w:rPr>
              <w:t>Java 4:</w:t>
            </w:r>
          </w:p>
        </w:tc>
        <w:tc>
          <w:tcPr>
            <w:tcW w:w="7200" w:type="dxa"/>
            <w:tcBorders>
              <w:top w:val="single" w:sz="4" w:space="0" w:color="000000"/>
              <w:left w:val="single" w:sz="4" w:space="0" w:color="000000"/>
              <w:bottom w:val="single" w:sz="4" w:space="0" w:color="000000"/>
              <w:right w:val="single" w:sz="4" w:space="0" w:color="auto"/>
            </w:tcBorders>
          </w:tcPr>
          <w:p w14:paraId="7CEA53B3" w14:textId="77777777" w:rsidR="009B26ED" w:rsidRPr="005E3892" w:rsidRDefault="009B26ED" w:rsidP="00140808">
            <w:pPr>
              <w:spacing w:after="0" w:line="240" w:lineRule="exact"/>
              <w:jc w:val="both"/>
              <w:rPr>
                <w:rFonts w:cs="Arial"/>
                <w:bCs/>
                <w:color w:val="000000" w:themeColor="text1"/>
              </w:rPr>
            </w:pPr>
            <w:r>
              <w:rPr>
                <w:rFonts w:cs="Arial"/>
                <w:bCs/>
                <w:color w:val="000000" w:themeColor="text1"/>
              </w:rPr>
              <w:t>Gj</w:t>
            </w:r>
            <w:r w:rsidRPr="005E3892">
              <w:rPr>
                <w:rFonts w:cs="Arial"/>
                <w:bCs/>
                <w:color w:val="000000" w:themeColor="text1"/>
              </w:rPr>
              <w:t xml:space="preserve">eografia politike dhe Sfera Publike  </w:t>
            </w:r>
          </w:p>
        </w:tc>
      </w:tr>
      <w:tr w:rsidR="009B26ED" w:rsidRPr="00BA1DE5" w14:paraId="48104C40"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498D8075" w14:textId="77777777" w:rsidR="009B26ED" w:rsidRPr="00BA1DE5" w:rsidRDefault="009B26ED" w:rsidP="00140808">
            <w:pPr>
              <w:spacing w:after="0" w:line="240" w:lineRule="exact"/>
              <w:rPr>
                <w:rFonts w:ascii="Calibri" w:hAnsi="Calibri"/>
                <w:b/>
              </w:rPr>
            </w:pPr>
            <w:r w:rsidRPr="00BA1DE5">
              <w:rPr>
                <w:rFonts w:ascii="Calibri" w:hAnsi="Calibri"/>
                <w:b/>
                <w:i/>
              </w:rPr>
              <w:t>Java 5:</w:t>
            </w:r>
          </w:p>
        </w:tc>
        <w:tc>
          <w:tcPr>
            <w:tcW w:w="7200" w:type="dxa"/>
            <w:tcBorders>
              <w:top w:val="single" w:sz="4" w:space="0" w:color="000000"/>
              <w:left w:val="single" w:sz="4" w:space="0" w:color="000000"/>
              <w:bottom w:val="single" w:sz="4" w:space="0" w:color="000000"/>
              <w:right w:val="single" w:sz="4" w:space="0" w:color="auto"/>
            </w:tcBorders>
          </w:tcPr>
          <w:p w14:paraId="5485E4E4" w14:textId="77777777" w:rsidR="009B26ED" w:rsidRPr="005E3892" w:rsidRDefault="009B26ED" w:rsidP="00140808">
            <w:pPr>
              <w:spacing w:after="0" w:line="240" w:lineRule="exact"/>
              <w:jc w:val="both"/>
              <w:rPr>
                <w:rFonts w:cs="Arial"/>
                <w:bCs/>
                <w:color w:val="000000" w:themeColor="text1"/>
              </w:rPr>
            </w:pPr>
            <w:r w:rsidRPr="005E3892">
              <w:rPr>
                <w:color w:val="000000" w:themeColor="text1"/>
              </w:rPr>
              <w:t>Planifikimi Urban dhe e drejta mbi qytetin</w:t>
            </w:r>
          </w:p>
        </w:tc>
      </w:tr>
      <w:tr w:rsidR="009B26ED" w:rsidRPr="00BA1DE5" w14:paraId="45472817"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344A0E37" w14:textId="77777777" w:rsidR="009B26ED" w:rsidRPr="00BA1DE5" w:rsidRDefault="009B26ED" w:rsidP="00140808">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7200" w:type="dxa"/>
            <w:tcBorders>
              <w:top w:val="single" w:sz="4" w:space="0" w:color="000000"/>
              <w:left w:val="single" w:sz="4" w:space="0" w:color="000000"/>
              <w:bottom w:val="single" w:sz="4" w:space="0" w:color="000000"/>
              <w:right w:val="single" w:sz="4" w:space="0" w:color="auto"/>
            </w:tcBorders>
          </w:tcPr>
          <w:p w14:paraId="18101B17" w14:textId="56A902B7" w:rsidR="009B26ED" w:rsidRPr="005E3892" w:rsidRDefault="009B26ED" w:rsidP="00140808">
            <w:pPr>
              <w:spacing w:after="0" w:line="240" w:lineRule="exact"/>
              <w:jc w:val="both"/>
              <w:rPr>
                <w:color w:val="000000" w:themeColor="text1"/>
              </w:rPr>
            </w:pPr>
            <w:r w:rsidRPr="005E3892">
              <w:rPr>
                <w:rFonts w:cs="Arial"/>
                <w:bCs/>
                <w:color w:val="000000" w:themeColor="text1"/>
              </w:rPr>
              <w:t>Hap</w:t>
            </w:r>
            <w:r>
              <w:rPr>
                <w:rFonts w:cs="Arial"/>
                <w:bCs/>
                <w:color w:val="000000" w:themeColor="text1"/>
              </w:rPr>
              <w:t>ë</w:t>
            </w:r>
            <w:r w:rsidRPr="005E3892">
              <w:rPr>
                <w:rFonts w:cs="Arial"/>
                <w:bCs/>
                <w:color w:val="000000" w:themeColor="text1"/>
              </w:rPr>
              <w:t>sira Publike Urbane: Dizajni, Praktikat dhe Konfliktet Demokratike</w:t>
            </w:r>
          </w:p>
        </w:tc>
      </w:tr>
      <w:tr w:rsidR="009B26ED" w:rsidRPr="00BA1DE5" w14:paraId="1E787B24"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55D9DE02" w14:textId="77777777" w:rsidR="009B26ED" w:rsidRPr="00BA1DE5" w:rsidRDefault="009B26ED" w:rsidP="00140808">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7200" w:type="dxa"/>
            <w:tcBorders>
              <w:top w:val="single" w:sz="4" w:space="0" w:color="000000"/>
              <w:left w:val="single" w:sz="4" w:space="0" w:color="000000"/>
              <w:bottom w:val="single" w:sz="4" w:space="0" w:color="000000"/>
              <w:right w:val="single" w:sz="4" w:space="0" w:color="auto"/>
            </w:tcBorders>
          </w:tcPr>
          <w:p w14:paraId="2226E2E5" w14:textId="51B21FDB" w:rsidR="009B26ED" w:rsidRPr="005E3892" w:rsidRDefault="009B26ED" w:rsidP="004B5478">
            <w:pPr>
              <w:spacing w:after="0" w:line="240" w:lineRule="exact"/>
              <w:jc w:val="both"/>
              <w:rPr>
                <w:color w:val="000000" w:themeColor="text1"/>
              </w:rPr>
            </w:pPr>
            <w:r w:rsidRPr="005E3892">
              <w:rPr>
                <w:color w:val="000000" w:themeColor="text1"/>
              </w:rPr>
              <w:t>Jeta publike n</w:t>
            </w:r>
            <w:r>
              <w:rPr>
                <w:color w:val="000000" w:themeColor="text1"/>
              </w:rPr>
              <w:t>ë</w:t>
            </w:r>
            <w:r w:rsidRPr="005E3892">
              <w:rPr>
                <w:color w:val="000000" w:themeColor="text1"/>
              </w:rPr>
              <w:t xml:space="preserve"> qytetin bashk</w:t>
            </w:r>
            <w:r>
              <w:rPr>
                <w:color w:val="000000" w:themeColor="text1"/>
              </w:rPr>
              <w:t>ë</w:t>
            </w:r>
            <w:r w:rsidRPr="005E3892">
              <w:rPr>
                <w:color w:val="000000" w:themeColor="text1"/>
              </w:rPr>
              <w:t xml:space="preserve">kohor  </w:t>
            </w:r>
          </w:p>
        </w:tc>
      </w:tr>
      <w:tr w:rsidR="009B26ED" w:rsidRPr="00BA1DE5" w14:paraId="214F8070"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0F18DEDC" w14:textId="77777777" w:rsidR="009B26ED" w:rsidRPr="00BA1DE5" w:rsidRDefault="009B26ED" w:rsidP="00140808">
            <w:pPr>
              <w:spacing w:after="0" w:line="240" w:lineRule="exact"/>
              <w:rPr>
                <w:rFonts w:ascii="Calibri" w:hAnsi="Calibri"/>
                <w:b/>
                <w:i/>
              </w:rPr>
            </w:pPr>
            <w:r w:rsidRPr="00BA1DE5">
              <w:rPr>
                <w:rFonts w:ascii="Calibri" w:hAnsi="Calibri"/>
                <w:b/>
                <w:i/>
              </w:rPr>
              <w:t>Java 8:</w:t>
            </w:r>
          </w:p>
        </w:tc>
        <w:tc>
          <w:tcPr>
            <w:tcW w:w="7200" w:type="dxa"/>
            <w:tcBorders>
              <w:top w:val="single" w:sz="4" w:space="0" w:color="000000"/>
              <w:left w:val="single" w:sz="4" w:space="0" w:color="000000"/>
              <w:bottom w:val="single" w:sz="4" w:space="0" w:color="000000"/>
              <w:right w:val="single" w:sz="4" w:space="0" w:color="auto"/>
            </w:tcBorders>
          </w:tcPr>
          <w:p w14:paraId="482A5C0A" w14:textId="77777777" w:rsidR="009B26ED" w:rsidRPr="005E3892" w:rsidRDefault="009B26ED" w:rsidP="00E42610">
            <w:pPr>
              <w:spacing w:after="0" w:line="240" w:lineRule="exact"/>
              <w:jc w:val="both"/>
              <w:rPr>
                <w:color w:val="000000" w:themeColor="text1"/>
              </w:rPr>
            </w:pPr>
            <w:r w:rsidRPr="005E3892">
              <w:rPr>
                <w:color w:val="000000" w:themeColor="text1"/>
              </w:rPr>
              <w:t>Ekonomia, Komuniteti, publiciteti dhe sfera publike</w:t>
            </w:r>
          </w:p>
        </w:tc>
      </w:tr>
      <w:tr w:rsidR="009B26ED" w:rsidRPr="00BA1DE5" w14:paraId="71988824"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01FEFF64" w14:textId="77777777" w:rsidR="009B26ED" w:rsidRPr="00BA1DE5" w:rsidRDefault="009B26ED" w:rsidP="0045753D">
            <w:pPr>
              <w:spacing w:after="0" w:line="240" w:lineRule="exact"/>
              <w:rPr>
                <w:rFonts w:ascii="Calibri" w:hAnsi="Calibri"/>
                <w:b/>
                <w:i/>
              </w:rPr>
            </w:pPr>
            <w:r w:rsidRPr="00BA1DE5">
              <w:rPr>
                <w:rFonts w:ascii="Calibri" w:hAnsi="Calibri"/>
                <w:b/>
                <w:i/>
              </w:rPr>
              <w:t>Java 9:</w:t>
            </w:r>
          </w:p>
        </w:tc>
        <w:tc>
          <w:tcPr>
            <w:tcW w:w="7200" w:type="dxa"/>
            <w:tcBorders>
              <w:top w:val="single" w:sz="4" w:space="0" w:color="000000"/>
              <w:left w:val="single" w:sz="4" w:space="0" w:color="000000"/>
              <w:bottom w:val="single" w:sz="4" w:space="0" w:color="000000"/>
              <w:right w:val="single" w:sz="4" w:space="0" w:color="auto"/>
            </w:tcBorders>
          </w:tcPr>
          <w:p w14:paraId="2E98435F" w14:textId="6AC4A873" w:rsidR="009B26ED" w:rsidRPr="005E3892" w:rsidRDefault="009B26ED" w:rsidP="001C55ED">
            <w:pPr>
              <w:spacing w:after="0" w:line="240" w:lineRule="exact"/>
              <w:jc w:val="both"/>
              <w:rPr>
                <w:rFonts w:cs="Arial"/>
                <w:bCs/>
                <w:color w:val="000000" w:themeColor="text1"/>
              </w:rPr>
            </w:pPr>
            <w:r w:rsidRPr="005E3892">
              <w:rPr>
                <w:color w:val="000000" w:themeColor="text1"/>
              </w:rPr>
              <w:t>Privatizimi kundrejt Hap</w:t>
            </w:r>
            <w:r>
              <w:rPr>
                <w:color w:val="000000" w:themeColor="text1"/>
              </w:rPr>
              <w:t>ë</w:t>
            </w:r>
            <w:r w:rsidRPr="005E3892">
              <w:rPr>
                <w:color w:val="000000" w:themeColor="text1"/>
              </w:rPr>
              <w:t>sir</w:t>
            </w:r>
            <w:r>
              <w:rPr>
                <w:color w:val="000000" w:themeColor="text1"/>
              </w:rPr>
              <w:t>ë</w:t>
            </w:r>
            <w:r w:rsidRPr="005E3892">
              <w:rPr>
                <w:color w:val="000000" w:themeColor="text1"/>
              </w:rPr>
              <w:t>s Publike n</w:t>
            </w:r>
            <w:r>
              <w:rPr>
                <w:color w:val="000000" w:themeColor="text1"/>
              </w:rPr>
              <w:t>ë</w:t>
            </w:r>
            <w:r w:rsidRPr="005E3892">
              <w:rPr>
                <w:color w:val="000000" w:themeColor="text1"/>
              </w:rPr>
              <w:t xml:space="preserve"> qytetin e shekullit 21</w:t>
            </w:r>
          </w:p>
        </w:tc>
      </w:tr>
      <w:tr w:rsidR="009B26ED" w:rsidRPr="00BA1DE5" w14:paraId="7F768EB7"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03ABB828" w14:textId="77777777" w:rsidR="009B26ED" w:rsidRPr="00BA1DE5" w:rsidRDefault="009B26ED" w:rsidP="0045753D">
            <w:pPr>
              <w:spacing w:after="0" w:line="240" w:lineRule="exact"/>
              <w:rPr>
                <w:rFonts w:ascii="Calibri" w:hAnsi="Calibri"/>
                <w:b/>
                <w:i/>
              </w:rPr>
            </w:pPr>
            <w:r w:rsidRPr="00BA1DE5">
              <w:rPr>
                <w:rFonts w:ascii="Calibri" w:hAnsi="Calibri"/>
                <w:b/>
                <w:i/>
              </w:rPr>
              <w:t>Java 10:</w:t>
            </w:r>
          </w:p>
        </w:tc>
        <w:tc>
          <w:tcPr>
            <w:tcW w:w="7200" w:type="dxa"/>
            <w:tcBorders>
              <w:top w:val="single" w:sz="4" w:space="0" w:color="000000"/>
              <w:left w:val="single" w:sz="4" w:space="0" w:color="000000"/>
              <w:bottom w:val="single" w:sz="4" w:space="0" w:color="000000"/>
              <w:right w:val="single" w:sz="4" w:space="0" w:color="auto"/>
            </w:tcBorders>
          </w:tcPr>
          <w:p w14:paraId="6DC4795F" w14:textId="05F7CFEC" w:rsidR="009B26ED" w:rsidRPr="005E3892" w:rsidRDefault="009B26ED" w:rsidP="002A5E7D">
            <w:pPr>
              <w:spacing w:after="0" w:line="240" w:lineRule="exact"/>
              <w:rPr>
                <w:color w:val="000000" w:themeColor="text1"/>
              </w:rPr>
            </w:pPr>
            <w:r w:rsidRPr="005E3892">
              <w:rPr>
                <w:color w:val="000000" w:themeColor="text1"/>
              </w:rPr>
              <w:t>Hap</w:t>
            </w:r>
            <w:r>
              <w:rPr>
                <w:color w:val="000000" w:themeColor="text1"/>
              </w:rPr>
              <w:t>ë</w:t>
            </w:r>
            <w:r w:rsidRPr="005E3892">
              <w:rPr>
                <w:color w:val="000000" w:themeColor="text1"/>
              </w:rPr>
              <w:t>sirat publike</w:t>
            </w:r>
            <w:r>
              <w:rPr>
                <w:color w:val="000000" w:themeColor="text1"/>
              </w:rPr>
              <w:t xml:space="preserve"> në pronësi private</w:t>
            </w:r>
          </w:p>
        </w:tc>
      </w:tr>
      <w:tr w:rsidR="009B26ED" w:rsidRPr="00BA1DE5" w14:paraId="7FBE6AED"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024DF0A1" w14:textId="77777777" w:rsidR="009B26ED" w:rsidRPr="00BA1DE5" w:rsidRDefault="009B26ED" w:rsidP="0045753D">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7200" w:type="dxa"/>
            <w:tcBorders>
              <w:top w:val="single" w:sz="4" w:space="0" w:color="000000"/>
              <w:left w:val="single" w:sz="4" w:space="0" w:color="000000"/>
              <w:bottom w:val="single" w:sz="4" w:space="0" w:color="000000"/>
              <w:right w:val="single" w:sz="4" w:space="0" w:color="auto"/>
            </w:tcBorders>
          </w:tcPr>
          <w:p w14:paraId="03150491" w14:textId="625ABCA7" w:rsidR="009B26ED" w:rsidRPr="005E3892" w:rsidRDefault="009B26ED" w:rsidP="00DD4041">
            <w:pPr>
              <w:spacing w:after="0" w:line="240" w:lineRule="exact"/>
              <w:rPr>
                <w:color w:val="000000" w:themeColor="text1"/>
              </w:rPr>
            </w:pPr>
            <w:r w:rsidRPr="005E3892">
              <w:rPr>
                <w:rFonts w:cs="Arial"/>
                <w:bCs/>
                <w:color w:val="000000" w:themeColor="text1"/>
              </w:rPr>
              <w:t>Hap</w:t>
            </w:r>
            <w:r>
              <w:rPr>
                <w:rFonts w:cs="Arial"/>
                <w:bCs/>
                <w:color w:val="000000" w:themeColor="text1"/>
              </w:rPr>
              <w:t>ë</w:t>
            </w:r>
            <w:r w:rsidRPr="005E3892">
              <w:rPr>
                <w:rFonts w:cs="Arial"/>
                <w:bCs/>
                <w:color w:val="000000" w:themeColor="text1"/>
              </w:rPr>
              <w:t>sirat neoliberale dhe p</w:t>
            </w:r>
            <w:r>
              <w:rPr>
                <w:rFonts w:cs="Arial"/>
                <w:bCs/>
                <w:color w:val="000000" w:themeColor="text1"/>
              </w:rPr>
              <w:t>ë</w:t>
            </w:r>
            <w:r w:rsidRPr="005E3892">
              <w:rPr>
                <w:rFonts w:cs="Arial"/>
                <w:bCs/>
                <w:color w:val="000000" w:themeColor="text1"/>
              </w:rPr>
              <w:t>rjashtimi publik</w:t>
            </w:r>
          </w:p>
        </w:tc>
      </w:tr>
      <w:tr w:rsidR="009B26ED" w:rsidRPr="00BA1DE5" w14:paraId="40327047"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47191356" w14:textId="77777777" w:rsidR="009B26ED" w:rsidRPr="00BA1DE5" w:rsidRDefault="009B26ED" w:rsidP="0045753D">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7200" w:type="dxa"/>
            <w:tcBorders>
              <w:top w:val="single" w:sz="4" w:space="0" w:color="000000"/>
              <w:left w:val="single" w:sz="4" w:space="0" w:color="000000"/>
              <w:bottom w:val="single" w:sz="4" w:space="0" w:color="000000"/>
              <w:right w:val="single" w:sz="4" w:space="0" w:color="auto"/>
            </w:tcBorders>
          </w:tcPr>
          <w:p w14:paraId="2807B338" w14:textId="154579B3" w:rsidR="009B26ED" w:rsidRPr="005E3892" w:rsidRDefault="009B26ED" w:rsidP="00B8355A">
            <w:pPr>
              <w:spacing w:after="0" w:line="240" w:lineRule="exact"/>
              <w:jc w:val="both"/>
              <w:rPr>
                <w:rFonts w:cs="Arial"/>
                <w:bCs/>
                <w:color w:val="000000" w:themeColor="text1"/>
              </w:rPr>
            </w:pPr>
            <w:r w:rsidRPr="005E3892">
              <w:rPr>
                <w:color w:val="000000" w:themeColor="text1"/>
              </w:rPr>
              <w:t>Hap</w:t>
            </w:r>
            <w:r>
              <w:rPr>
                <w:color w:val="000000" w:themeColor="text1"/>
              </w:rPr>
              <w:t>ë</w:t>
            </w:r>
            <w:r w:rsidRPr="005E3892">
              <w:rPr>
                <w:color w:val="000000" w:themeColor="text1"/>
              </w:rPr>
              <w:t>sira publike dhe kutura publike</w:t>
            </w:r>
          </w:p>
        </w:tc>
      </w:tr>
      <w:tr w:rsidR="009B26ED" w:rsidRPr="00BA1DE5" w14:paraId="632BBD7F"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6A0A20F8" w14:textId="77777777" w:rsidR="009B26ED" w:rsidRPr="00BA1DE5" w:rsidRDefault="009B26ED" w:rsidP="0045753D">
            <w:pPr>
              <w:spacing w:after="0" w:line="240" w:lineRule="exact"/>
              <w:rPr>
                <w:rFonts w:ascii="Calibri" w:hAnsi="Calibri"/>
                <w:b/>
                <w:i/>
              </w:rPr>
            </w:pPr>
            <w:r w:rsidRPr="00BA1DE5">
              <w:rPr>
                <w:rFonts w:ascii="Calibri" w:hAnsi="Calibri"/>
                <w:b/>
                <w:i/>
              </w:rPr>
              <w:t>Java 13</w:t>
            </w:r>
            <w:r w:rsidRPr="00BA1DE5">
              <w:rPr>
                <w:rFonts w:ascii="Calibri" w:hAnsi="Calibri"/>
                <w:b/>
              </w:rPr>
              <w:t xml:space="preserve">:    </w:t>
            </w:r>
          </w:p>
        </w:tc>
        <w:tc>
          <w:tcPr>
            <w:tcW w:w="7200" w:type="dxa"/>
            <w:tcBorders>
              <w:top w:val="single" w:sz="4" w:space="0" w:color="000000"/>
              <w:left w:val="single" w:sz="4" w:space="0" w:color="000000"/>
              <w:bottom w:val="single" w:sz="4" w:space="0" w:color="000000"/>
              <w:right w:val="single" w:sz="4" w:space="0" w:color="auto"/>
            </w:tcBorders>
          </w:tcPr>
          <w:p w14:paraId="219FA762" w14:textId="19FC0427" w:rsidR="009B26ED" w:rsidRPr="005E3892" w:rsidRDefault="009B26ED" w:rsidP="00F83C3C">
            <w:pPr>
              <w:spacing w:after="0" w:line="240" w:lineRule="exact"/>
              <w:jc w:val="both"/>
              <w:rPr>
                <w:rFonts w:cs="Arial"/>
                <w:bCs/>
                <w:color w:val="000000" w:themeColor="text1"/>
              </w:rPr>
            </w:pPr>
            <w:r w:rsidRPr="005E3892">
              <w:rPr>
                <w:color w:val="000000" w:themeColor="text1"/>
              </w:rPr>
              <w:t>Hap</w:t>
            </w:r>
            <w:r>
              <w:rPr>
                <w:color w:val="000000" w:themeColor="text1"/>
              </w:rPr>
              <w:t>ë</w:t>
            </w:r>
            <w:r w:rsidRPr="005E3892">
              <w:rPr>
                <w:color w:val="000000" w:themeColor="text1"/>
              </w:rPr>
              <w:t>sira publike virtuale dhe demokracia e re</w:t>
            </w:r>
          </w:p>
        </w:tc>
      </w:tr>
      <w:tr w:rsidR="009B26ED" w:rsidRPr="00BA1DE5" w14:paraId="6681C1B0"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20119099" w14:textId="77777777" w:rsidR="009B26ED" w:rsidRPr="00BA1DE5" w:rsidRDefault="009B26ED" w:rsidP="0045753D">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7200" w:type="dxa"/>
            <w:tcBorders>
              <w:top w:val="single" w:sz="4" w:space="0" w:color="000000"/>
              <w:left w:val="single" w:sz="4" w:space="0" w:color="000000"/>
              <w:bottom w:val="single" w:sz="4" w:space="0" w:color="000000"/>
              <w:right w:val="single" w:sz="4" w:space="0" w:color="auto"/>
            </w:tcBorders>
          </w:tcPr>
          <w:p w14:paraId="5CE500CB" w14:textId="77777777" w:rsidR="009B26ED" w:rsidRPr="005E3892" w:rsidRDefault="009B26ED" w:rsidP="00A97C62">
            <w:pPr>
              <w:spacing w:after="0" w:line="240" w:lineRule="exact"/>
              <w:rPr>
                <w:color w:val="000000" w:themeColor="text1"/>
              </w:rPr>
            </w:pPr>
            <w:r w:rsidRPr="005E3892">
              <w:rPr>
                <w:color w:val="000000" w:themeColor="text1"/>
              </w:rPr>
              <w:t>Sfera publike dhe ralcioni</w:t>
            </w:r>
            <w:r>
              <w:rPr>
                <w:color w:val="000000" w:themeColor="text1"/>
              </w:rPr>
              <w:t xml:space="preserve"> me ariktekturën dhe urbanizmin</w:t>
            </w:r>
          </w:p>
        </w:tc>
      </w:tr>
      <w:tr w:rsidR="009B26ED" w:rsidRPr="00BA1DE5" w14:paraId="69DB6325" w14:textId="77777777" w:rsidTr="009B26ED">
        <w:tc>
          <w:tcPr>
            <w:tcW w:w="1638" w:type="dxa"/>
            <w:tcBorders>
              <w:top w:val="single" w:sz="4" w:space="0" w:color="000000"/>
              <w:left w:val="single" w:sz="4" w:space="0" w:color="000000"/>
              <w:bottom w:val="single" w:sz="4" w:space="0" w:color="000000"/>
              <w:right w:val="single" w:sz="4" w:space="0" w:color="000000"/>
            </w:tcBorders>
          </w:tcPr>
          <w:p w14:paraId="1AF0737A" w14:textId="77777777" w:rsidR="009B26ED" w:rsidRPr="00BA1DE5" w:rsidRDefault="009B26ED" w:rsidP="0045753D">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7200" w:type="dxa"/>
            <w:tcBorders>
              <w:top w:val="single" w:sz="4" w:space="0" w:color="000000"/>
              <w:left w:val="single" w:sz="4" w:space="0" w:color="000000"/>
              <w:bottom w:val="single" w:sz="4" w:space="0" w:color="000000"/>
              <w:right w:val="single" w:sz="4" w:space="0" w:color="auto"/>
            </w:tcBorders>
          </w:tcPr>
          <w:p w14:paraId="158AD070" w14:textId="77777777" w:rsidR="009B26ED" w:rsidRPr="00BA1DE5" w:rsidRDefault="009B26ED" w:rsidP="00F77560">
            <w:pPr>
              <w:autoSpaceDE w:val="0"/>
              <w:autoSpaceDN w:val="0"/>
              <w:adjustRightInd w:val="0"/>
              <w:spacing w:after="0" w:line="240" w:lineRule="exact"/>
              <w:rPr>
                <w:bCs/>
                <w:lang w:eastAsia="mk-MK"/>
              </w:rPr>
            </w:pPr>
            <w:r>
              <w:rPr>
                <w:bCs/>
                <w:lang w:eastAsia="mk-MK"/>
              </w:rPr>
              <w:t>Prezantimet e punimeve seminarike</w:t>
            </w:r>
          </w:p>
        </w:tc>
      </w:tr>
    </w:tbl>
    <w:p w14:paraId="20776E7E" w14:textId="77777777" w:rsidR="00151A17" w:rsidRDefault="00151A17" w:rsidP="00151A17">
      <w:pPr>
        <w:pStyle w:val="NoSpacing"/>
        <w:rPr>
          <w:szCs w:val="28"/>
          <w:lang w:val="sq-AL"/>
        </w:rPr>
      </w:pPr>
    </w:p>
    <w:p w14:paraId="20D68867" w14:textId="77777777" w:rsidR="00151A17" w:rsidRDefault="00151A17" w:rsidP="00151A17">
      <w:pPr>
        <w:pStyle w:val="NoSpacing"/>
        <w:rPr>
          <w:szCs w:val="28"/>
          <w:lang w:val="sq-AL"/>
        </w:rPr>
      </w:pPr>
    </w:p>
    <w:p w14:paraId="613BACD6" w14:textId="77777777" w:rsidR="00151A17" w:rsidRDefault="00151A17" w:rsidP="00151A17">
      <w:pPr>
        <w:pStyle w:val="NoSpacing"/>
        <w:rPr>
          <w:szCs w:val="28"/>
          <w:lang w:val="sq-AL"/>
        </w:rPr>
      </w:pPr>
    </w:p>
    <w:p w14:paraId="49626A47" w14:textId="77777777" w:rsidR="00151A17" w:rsidRDefault="00151A17" w:rsidP="00151A17">
      <w:pPr>
        <w:pStyle w:val="NoSpacing"/>
        <w:rPr>
          <w:szCs w:val="28"/>
          <w:lang w:val="sq-AL"/>
        </w:rPr>
      </w:pPr>
    </w:p>
    <w:p w14:paraId="5F940C25" w14:textId="77777777" w:rsidR="00151A17" w:rsidRDefault="00151A17" w:rsidP="00151A17">
      <w:pPr>
        <w:pStyle w:val="NoSpacing"/>
        <w:rPr>
          <w:szCs w:val="28"/>
          <w:lang w:val="sq-AL"/>
        </w:rPr>
      </w:pPr>
    </w:p>
    <w:p w14:paraId="4DA2C5ED" w14:textId="77777777" w:rsidR="00151A17" w:rsidRDefault="00151A17" w:rsidP="00151A17">
      <w:pPr>
        <w:pStyle w:val="NoSpacing"/>
        <w:rPr>
          <w:szCs w:val="28"/>
          <w:lang w:val="sq-AL"/>
        </w:rPr>
      </w:pPr>
    </w:p>
    <w:p w14:paraId="788FF0CF" w14:textId="77777777" w:rsidR="00151A17" w:rsidRDefault="00151A17" w:rsidP="00151A17">
      <w:pPr>
        <w:pStyle w:val="NoSpacing"/>
        <w:rPr>
          <w:szCs w:val="28"/>
          <w:lang w:val="sq-AL"/>
        </w:rPr>
      </w:pPr>
    </w:p>
    <w:p w14:paraId="45161BA0" w14:textId="77777777" w:rsidR="00151A17" w:rsidRDefault="00151A17" w:rsidP="00151A17">
      <w:pPr>
        <w:pStyle w:val="NoSpacing"/>
        <w:rPr>
          <w:szCs w:val="28"/>
          <w:lang w:val="sq-AL"/>
        </w:rPr>
      </w:pPr>
    </w:p>
    <w:p w14:paraId="7C2EAEA6" w14:textId="77777777" w:rsidR="00151A17" w:rsidRDefault="00151A17" w:rsidP="00151A17">
      <w:pPr>
        <w:pStyle w:val="NoSpacing"/>
        <w:rPr>
          <w:szCs w:val="28"/>
          <w:lang w:val="sq-AL"/>
        </w:rPr>
      </w:pPr>
    </w:p>
    <w:p w14:paraId="25EF1B3B" w14:textId="77777777" w:rsidR="00151A17" w:rsidRDefault="00151A17" w:rsidP="00151A17">
      <w:pPr>
        <w:pStyle w:val="NoSpacing"/>
        <w:rPr>
          <w:szCs w:val="28"/>
          <w:lang w:val="sq-AL"/>
        </w:rPr>
      </w:pPr>
    </w:p>
    <w:p w14:paraId="60F462E6" w14:textId="77777777" w:rsidR="00151A17" w:rsidRDefault="00151A17" w:rsidP="00151A17">
      <w:pPr>
        <w:pStyle w:val="NoSpacing"/>
        <w:rPr>
          <w:szCs w:val="28"/>
          <w:lang w:val="sq-AL"/>
        </w:rPr>
      </w:pPr>
    </w:p>
    <w:p w14:paraId="1A8301CD" w14:textId="77777777" w:rsidR="00151A17" w:rsidRDefault="00151A17" w:rsidP="00151A17">
      <w:pPr>
        <w:pStyle w:val="NoSpacing"/>
        <w:rPr>
          <w:szCs w:val="28"/>
          <w:lang w:val="sq-AL"/>
        </w:rPr>
      </w:pPr>
    </w:p>
    <w:p w14:paraId="2EE8CCB2" w14:textId="77777777" w:rsidR="00151A17" w:rsidRDefault="00151A17" w:rsidP="00151A17">
      <w:pPr>
        <w:pStyle w:val="NoSpacing"/>
        <w:rPr>
          <w:szCs w:val="28"/>
          <w:lang w:val="sq-AL"/>
        </w:rPr>
      </w:pPr>
    </w:p>
    <w:p w14:paraId="34019D7C" w14:textId="77777777" w:rsidR="00151A17" w:rsidRDefault="00151A17" w:rsidP="00151A17">
      <w:pPr>
        <w:pStyle w:val="NoSpacing"/>
        <w:rPr>
          <w:szCs w:val="28"/>
          <w:lang w:val="sq-AL"/>
        </w:rPr>
      </w:pPr>
    </w:p>
    <w:p w14:paraId="169B6C7F" w14:textId="77777777" w:rsidR="00D86EBE" w:rsidRDefault="00D86EBE" w:rsidP="00151A17">
      <w:pPr>
        <w:pStyle w:val="NoSpacing"/>
        <w:rPr>
          <w:szCs w:val="28"/>
          <w:lang w:val="sq-AL"/>
        </w:rPr>
      </w:pPr>
    </w:p>
    <w:p w14:paraId="639E0F4A" w14:textId="77777777" w:rsidR="00151A17" w:rsidRPr="00BA1DE5"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BA1DE5" w14:paraId="1AB89598"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1BD6AD7" w14:textId="77777777" w:rsidR="00151A17" w:rsidRPr="00BA1DE5" w:rsidRDefault="00151A17" w:rsidP="001E3C40">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151A17" w:rsidRPr="00BA1DE5" w14:paraId="19DFD44D"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4E11BF2C" w14:textId="5D3F514C" w:rsidR="00151A17" w:rsidRPr="000201AB" w:rsidRDefault="000201AB" w:rsidP="001E3C40">
            <w:pPr>
              <w:spacing w:after="0" w:line="240" w:lineRule="exact"/>
              <w:contextualSpacing/>
              <w:jc w:val="both"/>
              <w:rPr>
                <w:rFonts w:cstheme="minorHAnsi"/>
                <w:i/>
              </w:rPr>
            </w:pPr>
            <w:r w:rsidRPr="00485208">
              <w:rPr>
                <w:rFonts w:ascii="Calibri" w:hAnsi="Calibri" w:cs="Calibri"/>
                <w:i/>
              </w:rPr>
              <w:t>Ligjëratat dhe vizitat studimore janë të detyrueshme; koha e mësimit fillon dhe mbaron me kohë; inkurajohet përdorimi i pajisjeve teknologjike për qëllime diskutimi/prezantimi, ndërkohë që nuk lejohet përdorimi i tij për aktivitete të</w:t>
            </w:r>
            <w:bookmarkStart w:id="1" w:name="_GoBack"/>
            <w:bookmarkEnd w:id="1"/>
            <w:r w:rsidRPr="00485208">
              <w:rPr>
                <w:rFonts w:ascii="Calibri" w:hAnsi="Calibri" w:cs="Calibri"/>
                <w:i/>
              </w:rPr>
              <w:t xml:space="preserve"> tjera si kontrollimi i e-mail-eve</w:t>
            </w:r>
            <w:r>
              <w:rPr>
                <w:rFonts w:ascii="Calibri" w:hAnsi="Calibri" w:cs="Calibri"/>
                <w:i/>
              </w:rPr>
              <w:t xml:space="preserve"> personale ose rrjeteve sociale</w:t>
            </w:r>
          </w:p>
        </w:tc>
      </w:tr>
    </w:tbl>
    <w:p w14:paraId="3AE0553B" w14:textId="77777777" w:rsidR="00151A17" w:rsidRPr="00BA1DE5" w:rsidRDefault="00151A17" w:rsidP="00151A17">
      <w:pPr>
        <w:rPr>
          <w:rFonts w:ascii="Calibri" w:hAnsi="Calibri"/>
          <w:b/>
        </w:rPr>
      </w:pPr>
      <w:r w:rsidRPr="00BA1DE5">
        <w:rPr>
          <w:rFonts w:ascii="Calibri" w:hAnsi="Calibri"/>
          <w:b/>
        </w:rPr>
        <w:t>Shënim | Nëse 3 detyra të klasës të një studenti vlerësohen nën 50%, atëherë ai/ajo do ta humb të drejtën që t’i nënshtrohet provimit final. Vlerësimi bëhet nga 0-100 %.</w:t>
      </w:r>
    </w:p>
    <w:p w14:paraId="4B32884F" w14:textId="77777777"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E7C47"/>
    <w:multiLevelType w:val="hybridMultilevel"/>
    <w:tmpl w:val="553C63A4"/>
    <w:lvl w:ilvl="0" w:tplc="04090001">
      <w:start w:val="1"/>
      <w:numFmt w:val="bullet"/>
      <w:lvlText w:val=""/>
      <w:lvlJc w:val="left"/>
      <w:pPr>
        <w:ind w:left="360" w:hanging="360"/>
      </w:pPr>
      <w:rPr>
        <w:rFonts w:ascii="Symbol" w:hAnsi="Symbol" w:hint="default"/>
        <w:b w:val="0"/>
        <w:i w:val="0"/>
        <w:color w:val="00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3237277E"/>
    <w:multiLevelType w:val="hybridMultilevel"/>
    <w:tmpl w:val="7E761406"/>
    <w:lvl w:ilvl="0" w:tplc="296A501E">
      <w:start w:val="7"/>
      <w:numFmt w:val="bullet"/>
      <w:lvlText w:val="•"/>
      <w:lvlJc w:val="left"/>
      <w:pPr>
        <w:ind w:left="798" w:hanging="360"/>
      </w:pPr>
      <w:rPr>
        <w:rFonts w:ascii="Calibri" w:eastAsia="Times New Roman" w:hAnsi="Calibri" w:cs="Aria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2">
    <w:nsid w:val="5A46740A"/>
    <w:multiLevelType w:val="hybridMultilevel"/>
    <w:tmpl w:val="A2E0DC56"/>
    <w:lvl w:ilvl="0" w:tplc="5392742C">
      <w:start w:val="3"/>
      <w:numFmt w:val="bullet"/>
      <w:lvlText w:val="•"/>
      <w:lvlJc w:val="left"/>
      <w:pPr>
        <w:ind w:left="720" w:hanging="360"/>
      </w:pPr>
      <w:rPr>
        <w:rFonts w:ascii="Calibri" w:eastAsia="Times New Roman" w:hAnsi="Calibri"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B81175"/>
    <w:multiLevelType w:val="hybridMultilevel"/>
    <w:tmpl w:val="C7406C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296F75"/>
    <w:multiLevelType w:val="hybridMultilevel"/>
    <w:tmpl w:val="78DC3018"/>
    <w:lvl w:ilvl="0" w:tplc="04090011">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5">
    <w:nsid w:val="727554F4"/>
    <w:multiLevelType w:val="hybridMultilevel"/>
    <w:tmpl w:val="CE482BF2"/>
    <w:lvl w:ilvl="0" w:tplc="6568D73A">
      <w:start w:val="1"/>
      <w:numFmt w:val="decimal"/>
      <w:lvlText w:val="%1."/>
      <w:lvlJc w:val="left"/>
      <w:pPr>
        <w:tabs>
          <w:tab w:val="num" w:pos="1740"/>
        </w:tabs>
        <w:ind w:left="174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5DD5F1F"/>
    <w:multiLevelType w:val="hybridMultilevel"/>
    <w:tmpl w:val="D01ECC2A"/>
    <w:lvl w:ilvl="0" w:tplc="15FA840E">
      <w:start w:val="44"/>
      <w:numFmt w:val="bullet"/>
      <w:lvlText w:val="-"/>
      <w:lvlJc w:val="left"/>
      <w:pPr>
        <w:ind w:left="360" w:hanging="360"/>
      </w:pPr>
      <w:rPr>
        <w:rFonts w:ascii="Times New Roman" w:eastAsia="Times New Roman" w:hAnsi="Times New Roman" w:cs="Times New Roman" w:hint="default"/>
        <w:b w:val="0"/>
        <w:i w:val="0"/>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764C022E"/>
    <w:multiLevelType w:val="hybridMultilevel"/>
    <w:tmpl w:val="C422E710"/>
    <w:lvl w:ilvl="0" w:tplc="D5444862">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4"/>
  </w:num>
  <w:num w:numId="5">
    <w:abstractNumId w:val="2"/>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151A17"/>
    <w:rsid w:val="000201AB"/>
    <w:rsid w:val="000716B0"/>
    <w:rsid w:val="000722F2"/>
    <w:rsid w:val="000A3E96"/>
    <w:rsid w:val="0010678E"/>
    <w:rsid w:val="0013715C"/>
    <w:rsid w:val="00140808"/>
    <w:rsid w:val="00144660"/>
    <w:rsid w:val="00151A17"/>
    <w:rsid w:val="00170CA1"/>
    <w:rsid w:val="001A517D"/>
    <w:rsid w:val="001C55ED"/>
    <w:rsid w:val="002A5E7D"/>
    <w:rsid w:val="00331EB3"/>
    <w:rsid w:val="0045753D"/>
    <w:rsid w:val="004B5478"/>
    <w:rsid w:val="00540781"/>
    <w:rsid w:val="0057200C"/>
    <w:rsid w:val="005C3F4B"/>
    <w:rsid w:val="005E3892"/>
    <w:rsid w:val="006F79BF"/>
    <w:rsid w:val="0075517B"/>
    <w:rsid w:val="007907D8"/>
    <w:rsid w:val="00791131"/>
    <w:rsid w:val="007E45F5"/>
    <w:rsid w:val="007F4389"/>
    <w:rsid w:val="00807C1F"/>
    <w:rsid w:val="008F0181"/>
    <w:rsid w:val="00916CC5"/>
    <w:rsid w:val="009B26ED"/>
    <w:rsid w:val="00A97C62"/>
    <w:rsid w:val="00AE3895"/>
    <w:rsid w:val="00B302C6"/>
    <w:rsid w:val="00B8355A"/>
    <w:rsid w:val="00C33B3C"/>
    <w:rsid w:val="00CA2D9E"/>
    <w:rsid w:val="00CC1EC6"/>
    <w:rsid w:val="00CF240D"/>
    <w:rsid w:val="00D86EBE"/>
    <w:rsid w:val="00DC001E"/>
    <w:rsid w:val="00DD4041"/>
    <w:rsid w:val="00DF24EA"/>
    <w:rsid w:val="00E12B1B"/>
    <w:rsid w:val="00E42610"/>
    <w:rsid w:val="00E55B4D"/>
    <w:rsid w:val="00E840DF"/>
    <w:rsid w:val="00E85AB9"/>
    <w:rsid w:val="00EA5101"/>
    <w:rsid w:val="00EF6473"/>
    <w:rsid w:val="00F762C2"/>
    <w:rsid w:val="00F77560"/>
    <w:rsid w:val="00F83C3C"/>
    <w:rsid w:val="00FB200B"/>
    <w:rsid w:val="00FD34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B4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basedOn w:val="DefaultParagraphFont"/>
    <w:uiPriority w:val="99"/>
    <w:unhideWhenUsed/>
    <w:rsid w:val="001067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dita.byc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932</Words>
  <Characters>5318</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Titulli i lëndës: Sfera Publike në kontekstin urban</vt:lpstr>
    </vt:vector>
  </TitlesOfParts>
  <Company>Grizli777</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Windows User</cp:lastModifiedBy>
  <cp:revision>14</cp:revision>
  <dcterms:created xsi:type="dcterms:W3CDTF">2019-07-28T10:33:00Z</dcterms:created>
  <dcterms:modified xsi:type="dcterms:W3CDTF">2023-07-13T14:37:00Z</dcterms:modified>
</cp:coreProperties>
</file>