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8E2E2C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8E2E2C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Fakulteti i Inxhinierisë Mekanike</w:t>
            </w:r>
          </w:p>
        </w:tc>
      </w:tr>
      <w:tr w:rsidR="00A815E6" w:rsidRPr="008E2E2C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5A0B3C6C" w:rsidR="00A815E6" w:rsidRPr="008E2E2C" w:rsidRDefault="00224310" w:rsidP="00CE36DE">
            <w:pPr>
              <w:pStyle w:val="NoSpacing"/>
              <w:rPr>
                <w:lang w:val="sq-AL"/>
              </w:rPr>
            </w:pPr>
            <w:r w:rsidRPr="008E2E2C">
              <w:rPr>
                <w:bCs/>
                <w:lang w:val="sq-AL"/>
              </w:rPr>
              <w:t>MEKATRONIK</w:t>
            </w:r>
            <w:r w:rsidR="00213D64">
              <w:rPr>
                <w:bCs/>
                <w:lang w:val="sq-AL"/>
              </w:rPr>
              <w:t>Ë</w:t>
            </w:r>
          </w:p>
        </w:tc>
      </w:tr>
      <w:tr w:rsidR="00A815E6" w:rsidRPr="008E2E2C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21BBAA8B" w:rsidR="00A815E6" w:rsidRPr="008E2E2C" w:rsidRDefault="003042BA" w:rsidP="00CE36DE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Grafika Inxhinierike</w:t>
            </w:r>
          </w:p>
        </w:tc>
      </w:tr>
      <w:tr w:rsidR="00A815E6" w:rsidRPr="008E2E2C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1460EB32" w:rsidR="00A815E6" w:rsidRPr="008E2E2C" w:rsidRDefault="0088681E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Baçelor</w:t>
            </w:r>
          </w:p>
        </w:tc>
      </w:tr>
      <w:tr w:rsidR="00A815E6" w:rsidRPr="008E2E2C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4D40D779" w:rsidR="00A815E6" w:rsidRPr="008E2E2C" w:rsidRDefault="003042BA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Obligative</w:t>
            </w:r>
          </w:p>
        </w:tc>
      </w:tr>
      <w:tr w:rsidR="00A815E6" w:rsidRPr="008E2E2C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4B9708C9" w:rsidR="00A815E6" w:rsidRPr="008E2E2C" w:rsidRDefault="00213D64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I</w:t>
            </w:r>
          </w:p>
        </w:tc>
      </w:tr>
      <w:tr w:rsidR="00A815E6" w:rsidRPr="008E2E2C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2+2</w:t>
            </w:r>
          </w:p>
        </w:tc>
      </w:tr>
      <w:tr w:rsidR="00A815E6" w:rsidRPr="008E2E2C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28E26CFC" w:rsidR="00A815E6" w:rsidRPr="008E2E2C" w:rsidRDefault="003042BA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6.5</w:t>
            </w:r>
          </w:p>
        </w:tc>
      </w:tr>
      <w:tr w:rsidR="00A815E6" w:rsidRPr="008E2E2C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6737B80F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 xml:space="preserve">Prof. Dr. </w:t>
            </w:r>
            <w:r w:rsidR="00213D64">
              <w:rPr>
                <w:lang w:val="sq-AL"/>
              </w:rPr>
              <w:t>Arbnor Pajaziti</w:t>
            </w:r>
            <w:r w:rsidRPr="008E2E2C">
              <w:rPr>
                <w:lang w:val="sq-AL"/>
              </w:rPr>
              <w:t xml:space="preserve"> </w:t>
            </w:r>
          </w:p>
        </w:tc>
      </w:tr>
      <w:tr w:rsidR="00A815E6" w:rsidRPr="008E2E2C" w14:paraId="5BFF3248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  <w:vAlign w:val="center"/>
          </w:tcPr>
          <w:p w14:paraId="5F7D10ED" w14:textId="5BB81B2B" w:rsidR="00C0090B" w:rsidRPr="00290AD4" w:rsidRDefault="003042BA" w:rsidP="00E425C8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cs="Calibri"/>
                <w:iCs/>
                <w:sz w:val="24"/>
                <w:szCs w:val="24"/>
              </w:rPr>
            </w:pPr>
            <w:r w:rsidRPr="00290AD4">
              <w:rPr>
                <w:bCs/>
                <w:sz w:val="24"/>
                <w:szCs w:val="24"/>
              </w:rPr>
              <w:t xml:space="preserve">Njohuri me standardet teknike. Vizatimi teknik. Formatet, përpjesët, tabelat. Konstruktimi i objekteve gjeometrike. Shkrimi teknik. Dimensionimi dhe kuotimi. Rregullat e projektimit në vizatim teknik. Prerjet. Skicimi. Paraqitja e vizatimeve teknike. Gjeometria Deskriptive. Projeksioni i elementeve gjeometrike. Prerjet e trupave. </w:t>
            </w:r>
            <w:r w:rsidRPr="00290AD4">
              <w:rPr>
                <w:sz w:val="24"/>
                <w:szCs w:val="24"/>
              </w:rPr>
              <w:t>Zhvillimi i sipërfaqes së trupave</w:t>
            </w:r>
            <w:r w:rsidRPr="00290AD4">
              <w:rPr>
                <w:bCs/>
                <w:sz w:val="24"/>
                <w:szCs w:val="24"/>
              </w:rPr>
              <w:t>. Problemet metrike. Paraqitja aksonometrike.</w:t>
            </w:r>
          </w:p>
        </w:tc>
      </w:tr>
      <w:tr w:rsidR="00A815E6" w:rsidRPr="008E2E2C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59A7FE21" w14:textId="783766AD" w:rsidR="004257D4" w:rsidRPr="00290AD4" w:rsidRDefault="004257D4" w:rsidP="00425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AD4">
              <w:rPr>
                <w:rFonts w:ascii="Times New Roman" w:hAnsi="Times New Roman" w:cs="Times New Roman"/>
                <w:sz w:val="24"/>
                <w:szCs w:val="24"/>
              </w:rPr>
              <w:t xml:space="preserve">Objektivi për studentin është (njohuritë dhe të kuptuarit): </w:t>
            </w:r>
          </w:p>
          <w:p w14:paraId="5DAF9C2B" w14:textId="4D51450F" w:rsidR="00C75D51" w:rsidRPr="00290AD4" w:rsidRDefault="00C75D51" w:rsidP="00425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AD4">
              <w:rPr>
                <w:sz w:val="24"/>
                <w:szCs w:val="24"/>
              </w:rPr>
              <w:t>Aftësimi i studentit nga lëmia e Inxhinierisë grafike.</w:t>
            </w:r>
          </w:p>
          <w:p w14:paraId="0E992FB6" w14:textId="0693E8D7" w:rsidR="004257D4" w:rsidRPr="008E2E2C" w:rsidRDefault="004257D4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AD4">
              <w:rPr>
                <w:rFonts w:ascii="Times New Roman" w:hAnsi="Times New Roman" w:cs="Times New Roman"/>
                <w:sz w:val="24"/>
                <w:szCs w:val="24"/>
              </w:rPr>
              <w:t xml:space="preserve">Kompetenca: Aftësia për të kombinuar njohuritë dhe shkathtësitë e fituara më parë nga </w:t>
            </w:r>
            <w:r w:rsidR="00C75D51" w:rsidRPr="00290AD4">
              <w:rPr>
                <w:rFonts w:ascii="Times New Roman" w:hAnsi="Times New Roman" w:cs="Times New Roman"/>
                <w:sz w:val="24"/>
                <w:szCs w:val="24"/>
              </w:rPr>
              <w:t>inxhinieria</w:t>
            </w:r>
            <w:r w:rsidRPr="00290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D51" w:rsidRPr="00290AD4">
              <w:rPr>
                <w:rFonts w:ascii="Times New Roman" w:hAnsi="Times New Roman" w:cs="Times New Roman"/>
                <w:sz w:val="24"/>
                <w:szCs w:val="24"/>
              </w:rPr>
              <w:t xml:space="preserve">mekanike </w:t>
            </w:r>
            <w:r w:rsidRPr="00290AD4">
              <w:rPr>
                <w:rFonts w:ascii="Times New Roman" w:hAnsi="Times New Roman" w:cs="Times New Roman"/>
                <w:sz w:val="24"/>
                <w:szCs w:val="24"/>
              </w:rPr>
              <w:t xml:space="preserve">me njohuritë e arritura nga lënda për përdorim të suksesshëm të metodave moderne </w:t>
            </w:r>
            <w:r w:rsidR="00FE6732" w:rsidRPr="00290AD4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r w:rsidR="005F75EA" w:rsidRPr="00290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D51" w:rsidRPr="00290AD4">
              <w:rPr>
                <w:rFonts w:ascii="Times New Roman" w:hAnsi="Times New Roman" w:cs="Times New Roman"/>
                <w:sz w:val="24"/>
                <w:szCs w:val="24"/>
              </w:rPr>
              <w:t>grafika inxhinierike</w:t>
            </w:r>
            <w:r w:rsidR="00C0090B" w:rsidRPr="00290A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5E6" w:rsidRPr="008E2E2C" w14:paraId="3969D124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3854" w:type="pct"/>
            <w:gridSpan w:val="7"/>
            <w:vAlign w:val="center"/>
          </w:tcPr>
          <w:p w14:paraId="7A9CD6B8" w14:textId="11FE9B5C" w:rsidR="00A815E6" w:rsidRDefault="00A815E6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Pas përfundimit të këtij kursi (lënd</w:t>
            </w:r>
            <w:r w:rsidR="004257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), student</w:t>
            </w:r>
            <w:r w:rsidR="001E1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do të je</w:t>
            </w:r>
            <w:r w:rsidR="001E18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ë në gjendj</w:t>
            </w:r>
            <w:r w:rsidR="000F4B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64E6D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964E6D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64E6D">
              <w:rPr>
                <w:rFonts w:ascii="Times New Roman" w:hAnsi="Times New Roman" w:cs="Times New Roman"/>
                <w:sz w:val="24"/>
                <w:szCs w:val="24"/>
              </w:rPr>
              <w:t xml:space="preserve"> dij</w:t>
            </w:r>
            <w:r w:rsidR="00964E6D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64E6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964E6D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64E6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12E862" w14:textId="3D171FE8" w:rsidR="00920FBF" w:rsidRPr="006572EC" w:rsidRDefault="00C75D51" w:rsidP="00C75D51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Shkronjat teknike, llojet e vijave, llojet e letrës, formatet, tabelat. Vizatimin e konstruksioneve gjeomterike. Skicimin. Rregullat e dimensionimit. Paraqitjen e pikave, vijave, objekteve dhe trupave të ndryshëm në hapësirë. Prerjen e trupave. Zhvillimin e sipërfaqes së trupave. Vizatimin  e objekteve dhe trupave në projeksione. Krijimin e vizatimeve teknike dhe makinerike. Paraqitjen dhe leximin e vizatimeve.</w:t>
            </w:r>
            <w:r w:rsidR="00E425C8" w:rsidRPr="00657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15E6" w:rsidRPr="008E2E2C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Kontributi në ngarkesën e studentit </w:t>
            </w:r>
          </w:p>
          <w:p w14:paraId="48BFC409" w14:textId="793D03C8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(Që duhet tё korrespondoj</w:t>
            </w:r>
            <w:r w:rsidR="00BF2BA1" w:rsidRPr="008E2E2C">
              <w:rPr>
                <w:b/>
                <w:lang w:val="sq-AL"/>
              </w:rPr>
              <w:t>ё</w:t>
            </w:r>
            <w:r w:rsidRPr="008E2E2C">
              <w:rPr>
                <w:b/>
                <w:lang w:val="sq-AL"/>
              </w:rPr>
              <w:t xml:space="preserve"> me rezultatet e tё </w:t>
            </w:r>
            <w:r w:rsidR="00BF2BA1" w:rsidRPr="008E2E2C">
              <w:rPr>
                <w:b/>
                <w:lang w:val="sq-AL"/>
              </w:rPr>
              <w:t xml:space="preserve">tё </w:t>
            </w:r>
            <w:r w:rsidRPr="008E2E2C">
              <w:rPr>
                <w:b/>
                <w:lang w:val="sq-AL"/>
              </w:rPr>
              <w:t>nxënit tё studentit)</w:t>
            </w:r>
          </w:p>
        </w:tc>
      </w:tr>
      <w:tr w:rsidR="00A815E6" w:rsidRPr="008E2E2C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146F97" w:rsidRPr="008E2E2C" w14:paraId="6EEFE40A" w14:textId="77777777" w:rsidTr="00FF0400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33DA686" w14:textId="2316DD28" w:rsidR="00146F97" w:rsidRPr="008E2E2C" w:rsidRDefault="00146F97" w:rsidP="00146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2F2A2B70" w14:textId="3F2EFDEE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12979" w14:textId="08D0685C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1630F33B" w14:textId="3E403D2E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6F97" w:rsidRPr="008E2E2C" w14:paraId="7591A511" w14:textId="77777777" w:rsidTr="00FF0400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40C4A06" w14:textId="4177EA8C" w:rsidR="00146F97" w:rsidRPr="008E2E2C" w:rsidRDefault="00146F97" w:rsidP="00146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Ushtrime teorike/laboratorike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66807B5B" w14:textId="306DD8B9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92E38" w14:textId="011FFF36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7D3F0437" w14:textId="438E7177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6F97" w:rsidRPr="008E2E2C" w14:paraId="782BB603" w14:textId="77777777" w:rsidTr="00FF0400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D96130D" w14:textId="4AA3BA92" w:rsidR="00146F97" w:rsidRPr="008E2E2C" w:rsidRDefault="00146F97" w:rsidP="00146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3165DC79" w14:textId="06395E44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C7E673" w14:textId="61E20768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2EE0911C" w14:textId="3742FD2B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6F97" w:rsidRPr="008E2E2C" w14:paraId="4C0921A6" w14:textId="77777777" w:rsidTr="00FF0400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4FC6B60" w14:textId="1FF7330A" w:rsidR="00146F97" w:rsidRPr="008E2E2C" w:rsidRDefault="00146F97" w:rsidP="00146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Kontaktet me mësimdhënësin/konsultimet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12B030FF" w14:textId="696DC6FE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546881" w14:textId="3377FF9A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1D39C361" w14:textId="1D957E0E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6F97" w:rsidRPr="008E2E2C" w14:paraId="079694D3" w14:textId="77777777" w:rsidTr="00FF0400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7E141D8" w14:textId="0909CAD4" w:rsidR="00146F97" w:rsidRPr="008E2E2C" w:rsidRDefault="00146F97" w:rsidP="00146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Kollok</w:t>
            </w:r>
            <w:r w:rsidR="00904B5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iume</w:t>
            </w:r>
            <w:r w:rsidR="00904B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seminare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17A7E81E" w14:textId="3E5B3706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08910" w14:textId="4C5AC4D5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2116ED34" w14:textId="513E0F8C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46F97" w:rsidRPr="008E2E2C" w14:paraId="1D3E3C36" w14:textId="77777777" w:rsidTr="00FF0400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6D80738" w14:textId="33802D50" w:rsidR="00146F97" w:rsidRPr="008E2E2C" w:rsidRDefault="00146F97" w:rsidP="00146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Detyra të shtëpisë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1899BB66" w14:textId="473AD543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B6F98A" w14:textId="3714361F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729019E4" w14:textId="1D6D0161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46F97" w:rsidRPr="008E2E2C" w14:paraId="24A09BF7" w14:textId="77777777" w:rsidTr="00FF0400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798AB2C" w14:textId="79DAAFF7" w:rsidR="00146F97" w:rsidRPr="008E2E2C" w:rsidRDefault="00146F97" w:rsidP="00146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Koha e studimit vetanak të studentit (në bibliotekë ose në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36EBA2BB" w14:textId="559D8CBE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EC192" w14:textId="182D3229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7EE4A526" w14:textId="18EA2045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46F97" w:rsidRPr="008E2E2C" w14:paraId="7C389C04" w14:textId="77777777" w:rsidTr="00FF0400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08C21A1" w14:textId="68E4B495" w:rsidR="00146F97" w:rsidRPr="008E2E2C" w:rsidRDefault="00146F97" w:rsidP="00146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Përgatitja përfundimtare për provim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5AF30197" w14:textId="28F096D7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90F178" w14:textId="30D7805C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4E8C6CD9" w14:textId="5664237C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6F97" w:rsidRPr="008E2E2C" w14:paraId="53722A8E" w14:textId="77777777" w:rsidTr="00FF0400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22C647D5" w14:textId="5AB2329F" w:rsidR="00146F97" w:rsidRPr="008E2E2C" w:rsidRDefault="00146F97" w:rsidP="00146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Koha e kaluar në vlerësim (teste, kuiz, provim final)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2BBE6BF4" w14:textId="014CF128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0449C" w14:textId="7FCC3483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1394EDC4" w14:textId="58079381" w:rsidR="00146F97" w:rsidRPr="006572EC" w:rsidRDefault="00146F97" w:rsidP="00146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2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15E6" w:rsidRPr="008E2E2C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54BE90CE" w:rsidR="00A815E6" w:rsidRPr="00213D64" w:rsidRDefault="002D45F1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46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A815E6" w:rsidRPr="008E2E2C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6718F836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 xml:space="preserve">Ligjërata me anë të prezantimeve, ushtrime me detyra dhe shembuj konkret, punime </w:t>
            </w:r>
            <w:r w:rsidR="00DB1E97">
              <w:rPr>
                <w:lang w:val="sq-AL"/>
              </w:rPr>
              <w:t>grafike</w:t>
            </w:r>
            <w:r w:rsidRPr="008E2E2C">
              <w:rPr>
                <w:lang w:val="sq-AL"/>
              </w:rPr>
              <w:t>, teste, diskutime.</w:t>
            </w:r>
          </w:p>
        </w:tc>
      </w:tr>
      <w:tr w:rsidR="00A815E6" w:rsidRPr="008E2E2C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3723A28C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Raporti në mes të studimit teorik dhe praktik: </w:t>
            </w:r>
            <w:r w:rsidRPr="008E2E2C">
              <w:rPr>
                <w:bCs/>
                <w:lang w:val="sq-AL"/>
              </w:rPr>
              <w:t>Detyrat e shtëpisë, Kollok</w:t>
            </w:r>
            <w:r w:rsidR="00213D64">
              <w:rPr>
                <w:bCs/>
                <w:lang w:val="sq-AL"/>
              </w:rPr>
              <w:t>u</w:t>
            </w:r>
            <w:r w:rsidRPr="008E2E2C">
              <w:rPr>
                <w:bCs/>
                <w:lang w:val="sq-AL"/>
              </w:rPr>
              <w:t>ium</w:t>
            </w:r>
            <w:r w:rsidR="00D81CC4">
              <w:rPr>
                <w:bCs/>
                <w:lang w:val="sq-AL"/>
              </w:rPr>
              <w:t>e</w:t>
            </w:r>
            <w:r w:rsidRPr="008E2E2C">
              <w:rPr>
                <w:bCs/>
                <w:lang w:val="sq-AL"/>
              </w:rPr>
              <w:t>, Seminare, Projekte, Vijueshmëri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praktike</w:t>
            </w:r>
          </w:p>
        </w:tc>
      </w:tr>
      <w:tr w:rsidR="00A815E6" w:rsidRPr="008E2E2C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2108D657" w:rsidR="00A815E6" w:rsidRPr="008E2E2C" w:rsidRDefault="00146F97" w:rsidP="00CE36DE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4</w:t>
            </w:r>
            <w:r w:rsidR="00A815E6" w:rsidRPr="008E2E2C">
              <w:rPr>
                <w:b/>
                <w:lang w:val="sq-AL"/>
              </w:rPr>
              <w:t>0%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650F6A2E" w:rsidR="00A815E6" w:rsidRPr="008E2E2C" w:rsidRDefault="00146F97" w:rsidP="00CE36DE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6</w:t>
            </w:r>
            <w:r w:rsidR="00A815E6" w:rsidRPr="008E2E2C">
              <w:rPr>
                <w:b/>
                <w:lang w:val="sq-AL"/>
              </w:rPr>
              <w:t>0%</w:t>
            </w:r>
          </w:p>
        </w:tc>
      </w:tr>
      <w:tr w:rsidR="00B03EA2" w:rsidRPr="008E2E2C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391AE3CF" w14:textId="77777777" w:rsidR="00EB06F6" w:rsidRPr="00B77606" w:rsidRDefault="00EB06F6" w:rsidP="00EB06F6">
            <w:pPr>
              <w:rPr>
                <w:b/>
                <w:i/>
              </w:rPr>
            </w:pPr>
            <w:r w:rsidRPr="00B77606">
              <w:rPr>
                <w:b/>
                <w:i/>
              </w:rPr>
              <w:t>Gjatë semestrit me teste:</w:t>
            </w:r>
          </w:p>
          <w:p w14:paraId="57A25AC2" w14:textId="2DB501E3" w:rsidR="00EB06F6" w:rsidRDefault="00EB06F6" w:rsidP="00EB06F6">
            <w:r w:rsidRPr="00B77606">
              <w:t xml:space="preserve">Vlerësimi </w:t>
            </w:r>
            <w:r w:rsidR="00146F97">
              <w:t xml:space="preserve">I </w:t>
            </w:r>
            <w:r w:rsidRPr="00B77606">
              <w:t xml:space="preserve">intermediar: </w:t>
            </w:r>
            <w:r w:rsidR="00D54B29">
              <w:t>20</w:t>
            </w:r>
            <w:r w:rsidRPr="00B77606">
              <w:t>%</w:t>
            </w:r>
          </w:p>
          <w:p w14:paraId="1A1444DD" w14:textId="65C641A1" w:rsidR="00D54B29" w:rsidRPr="00B77606" w:rsidRDefault="00D54B29" w:rsidP="00D54B29">
            <w:r w:rsidRPr="00B77606">
              <w:t xml:space="preserve">Vlerësimi </w:t>
            </w:r>
            <w:r>
              <w:t xml:space="preserve">II </w:t>
            </w:r>
            <w:r w:rsidRPr="00B77606">
              <w:t xml:space="preserve">intermediar: </w:t>
            </w:r>
            <w:r>
              <w:t>20</w:t>
            </w:r>
            <w:r w:rsidRPr="00B77606">
              <w:t>%</w:t>
            </w:r>
          </w:p>
          <w:p w14:paraId="0A80A729" w14:textId="7E4A3EC3" w:rsidR="00EB06F6" w:rsidRPr="00B77606" w:rsidRDefault="00EB06F6" w:rsidP="00EB06F6">
            <w:r w:rsidRPr="00B77606">
              <w:t>Vlerësimi përfundimtar: 3</w:t>
            </w:r>
            <w:r w:rsidR="00D54B29">
              <w:t>0</w:t>
            </w:r>
            <w:r w:rsidRPr="00B77606">
              <w:t>%</w:t>
            </w:r>
          </w:p>
          <w:p w14:paraId="04998BD7" w14:textId="157316B9" w:rsidR="00EB06F6" w:rsidRPr="00B77606" w:rsidRDefault="00EB06F6" w:rsidP="00EB06F6">
            <w:r>
              <w:t>P</w:t>
            </w:r>
            <w:r w:rsidR="00146F97">
              <w:t>unimet grafike</w:t>
            </w:r>
            <w:r w:rsidRPr="00B77606">
              <w:t>: 20%</w:t>
            </w:r>
          </w:p>
          <w:p w14:paraId="11967693" w14:textId="49F067BE" w:rsidR="00EB06F6" w:rsidRPr="00B77606" w:rsidRDefault="00EB06F6" w:rsidP="00EB06F6">
            <w:r w:rsidRPr="00B77606">
              <w:t xml:space="preserve">Vijimi i rregullt: 10% </w:t>
            </w:r>
          </w:p>
          <w:p w14:paraId="6CF649E1" w14:textId="62494355" w:rsidR="00B03EA2" w:rsidRPr="00EB06F6" w:rsidRDefault="00EB06F6" w:rsidP="00EB06F6">
            <w:pPr>
              <w:rPr>
                <w:b/>
                <w:i/>
              </w:rPr>
            </w:pPr>
            <w:r w:rsidRPr="00B77606">
              <w:rPr>
                <w:b/>
              </w:rPr>
              <w:t>Total 100%</w:t>
            </w:r>
            <w:r w:rsidRPr="00B77606">
              <w:rPr>
                <w:b/>
                <w:i/>
              </w:rPr>
              <w:t xml:space="preserve"> </w:t>
            </w: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0E1F40" w:rsidRDefault="00B03EA2" w:rsidP="000E1F40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90 deri në 100 pikë</w:t>
            </w:r>
            <w:r w:rsidRPr="008E2E2C">
              <w:rPr>
                <w:b/>
                <w:lang w:val="sq-AL"/>
              </w:rPr>
              <w:br/>
              <w:t>Nga 80 deri në 89 pikë</w:t>
            </w:r>
            <w:r w:rsidRPr="008E2E2C">
              <w:rPr>
                <w:b/>
                <w:lang w:val="sq-AL"/>
              </w:rPr>
              <w:br/>
              <w:t>Nga 70 deri në 79 pikë</w:t>
            </w:r>
            <w:r w:rsidRPr="008E2E2C">
              <w:rPr>
                <w:b/>
                <w:lang w:val="sq-AL"/>
              </w:rPr>
              <w:br/>
              <w:t>Nga 60 deri në 69 pikë</w:t>
            </w:r>
            <w:r w:rsidRPr="008E2E2C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B03EA2" w:rsidRPr="008E2E2C" w:rsidRDefault="00B03EA2" w:rsidP="000E1F40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B03EA2" w:rsidRPr="008E2E2C" w:rsidRDefault="00B03EA2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10 (dhjetë) (A)</w:t>
            </w:r>
            <w:r w:rsidRPr="008E2E2C">
              <w:rPr>
                <w:b/>
                <w:lang w:val="sq-AL"/>
              </w:rPr>
              <w:br/>
              <w:t>9 (nëntë) (B)</w:t>
            </w:r>
            <w:r w:rsidRPr="008E2E2C">
              <w:rPr>
                <w:b/>
                <w:lang w:val="sq-AL"/>
              </w:rPr>
              <w:br/>
              <w:t>8 (tetë) (C)</w:t>
            </w:r>
            <w:r w:rsidRPr="008E2E2C">
              <w:rPr>
                <w:b/>
                <w:lang w:val="sq-AL"/>
              </w:rPr>
              <w:br/>
              <w:t>7 (shtatë) (D)</w:t>
            </w:r>
            <w:r w:rsidRPr="008E2E2C">
              <w:rPr>
                <w:b/>
                <w:lang w:val="sq-AL"/>
              </w:rPr>
              <w:br/>
              <w:t>6 (gjashtë) (E)</w:t>
            </w:r>
            <w:r w:rsidRPr="008E2E2C">
              <w:rPr>
                <w:b/>
                <w:lang w:val="sq-AL"/>
              </w:rPr>
              <w:br/>
              <w:t>5 (pesë) (F)</w:t>
            </w:r>
          </w:p>
        </w:tc>
      </w:tr>
      <w:tr w:rsidR="00B03EA2" w:rsidRPr="008E2E2C" w14:paraId="081962EC" w14:textId="78F60985" w:rsidTr="00F57214">
        <w:trPr>
          <w:trHeight w:val="312"/>
        </w:trPr>
        <w:tc>
          <w:tcPr>
            <w:tcW w:w="1146" w:type="pct"/>
            <w:vAlign w:val="center"/>
          </w:tcPr>
          <w:p w14:paraId="60883A4D" w14:textId="77777777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vAlign w:val="center"/>
          </w:tcPr>
          <w:p w14:paraId="11D838D7" w14:textId="0772F104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Testimi gjatë vitit, seminaret dhe provimi përfundimtar.</w:t>
            </w:r>
          </w:p>
        </w:tc>
      </w:tr>
      <w:tr w:rsidR="00A815E6" w:rsidRPr="008E2E2C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D49F76A" w14:textId="77777777" w:rsidR="006F4E77" w:rsidRDefault="00090A7C" w:rsidP="005E0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 xml:space="preserve">[1] Ligjerata të autorizuara nga </w:t>
            </w:r>
            <w:r w:rsidR="00146F97">
              <w:rPr>
                <w:rFonts w:ascii="Times New Roman" w:hAnsi="Times New Roman" w:cs="Times New Roman"/>
                <w:sz w:val="24"/>
                <w:szCs w:val="24"/>
              </w:rPr>
              <w:t>Grafika Inxhinierike</w:t>
            </w:r>
            <w:r w:rsidR="005F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i profesorit të lëndës, 2025.</w:t>
            </w:r>
          </w:p>
          <w:p w14:paraId="49A583DC" w14:textId="0B4BDDDD" w:rsidR="00D519F2" w:rsidRPr="00D519F2" w:rsidRDefault="00D519F2" w:rsidP="00D519F2">
            <w:pPr>
              <w:pStyle w:val="NoSpacing"/>
              <w:rPr>
                <w:rFonts w:eastAsiaTheme="minorHAnsi"/>
                <w:lang w:val="sq-AL"/>
              </w:rPr>
            </w:pPr>
            <w:r w:rsidRPr="00D519F2">
              <w:rPr>
                <w:rFonts w:eastAsiaTheme="minorHAnsi"/>
                <w:lang w:val="sq-AL"/>
              </w:rPr>
              <w:t>[2] Prof.dr. Musli Bajraktari, Dr.sc. Ilir Doçi, Grafika inxhinierike, Prishtinë, 2012.</w:t>
            </w:r>
          </w:p>
          <w:p w14:paraId="6DC06D8E" w14:textId="09E7EF87" w:rsidR="00D519F2" w:rsidRPr="00D519F2" w:rsidRDefault="00D519F2" w:rsidP="00D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F2">
              <w:rPr>
                <w:rFonts w:ascii="Times New Roman" w:hAnsi="Times New Roman" w:cs="Times New Roman"/>
                <w:sz w:val="24"/>
                <w:szCs w:val="24"/>
              </w:rPr>
              <w:t>[3] K.C. John, Engineering Graphics for Diploma, PHI Learning Private Limited, 2009.</w:t>
            </w:r>
          </w:p>
          <w:p w14:paraId="78CF3F9D" w14:textId="2BB6EB79" w:rsidR="00D519F2" w:rsidRPr="006F4E77" w:rsidRDefault="00D519F2" w:rsidP="00D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F2">
              <w:rPr>
                <w:rFonts w:ascii="Times New Roman" w:hAnsi="Times New Roman" w:cs="Times New Roman"/>
                <w:sz w:val="24"/>
                <w:szCs w:val="24"/>
              </w:rPr>
              <w:t>[4] Hans Hoischen, Technisches Zeichnen, Grundlagen, Normen, Beispeiele Darstellende Geometrie, Cornelsen, 2002.</w:t>
            </w:r>
          </w:p>
        </w:tc>
      </w:tr>
      <w:tr w:rsidR="00146F97" w:rsidRPr="008E2E2C" w14:paraId="15F9CCD5" w14:textId="77777777" w:rsidTr="001B418A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146F97" w:rsidRPr="008E2E2C" w:rsidRDefault="00146F97" w:rsidP="00146F9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Literatura shtesë:  </w:t>
            </w:r>
          </w:p>
        </w:tc>
        <w:tc>
          <w:tcPr>
            <w:tcW w:w="3854" w:type="pct"/>
            <w:gridSpan w:val="7"/>
          </w:tcPr>
          <w:p w14:paraId="15AC84A6" w14:textId="77777777" w:rsidR="00146F97" w:rsidRPr="00D519F2" w:rsidRDefault="00146F97" w:rsidP="0014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F2">
              <w:rPr>
                <w:rFonts w:ascii="Times New Roman" w:hAnsi="Times New Roman" w:cs="Times New Roman"/>
                <w:sz w:val="24"/>
                <w:szCs w:val="24"/>
              </w:rPr>
              <w:t>[1] K.C. John, Engineering Graphics for Diploma, PHI Learning Private Limited, 2009.</w:t>
            </w:r>
          </w:p>
          <w:p w14:paraId="16698B28" w14:textId="6FDA89EF" w:rsidR="00146F97" w:rsidRPr="00D519F2" w:rsidRDefault="00146F97" w:rsidP="0014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F2">
              <w:rPr>
                <w:rFonts w:ascii="Times New Roman" w:hAnsi="Times New Roman" w:cs="Times New Roman"/>
                <w:sz w:val="24"/>
                <w:szCs w:val="24"/>
              </w:rPr>
              <w:t xml:space="preserve">[2] Prof.dr. Musli Bajraktari, Dr.sc. Ilir Doçi, Prezentime nga Grafika Inxhinierike, 2011. </w:t>
            </w:r>
          </w:p>
          <w:p w14:paraId="6A0C2F82" w14:textId="77777777" w:rsidR="00146F97" w:rsidRPr="00D519F2" w:rsidRDefault="00146F97" w:rsidP="0014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F2">
              <w:rPr>
                <w:rFonts w:ascii="Times New Roman" w:hAnsi="Times New Roman" w:cs="Times New Roman"/>
                <w:sz w:val="24"/>
                <w:szCs w:val="24"/>
              </w:rPr>
              <w:t>[3] Prof.dr. Musli Bajraktari, Dr.sc. Ilir Doçi, Vizatimi Teknik, Prishtinë, 2010.</w:t>
            </w:r>
          </w:p>
          <w:p w14:paraId="70876DFB" w14:textId="77777777" w:rsidR="00146F97" w:rsidRPr="00D519F2" w:rsidRDefault="00146F97" w:rsidP="0014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F2">
              <w:rPr>
                <w:rFonts w:ascii="Times New Roman" w:hAnsi="Times New Roman" w:cs="Times New Roman"/>
                <w:sz w:val="24"/>
                <w:szCs w:val="24"/>
              </w:rPr>
              <w:t>[4] Prof. Dr. Musli Bajraktari , Gjeometria deskriptive, Prishtinë, 2004.</w:t>
            </w:r>
          </w:p>
          <w:p w14:paraId="16933BA2" w14:textId="7DD428B4" w:rsidR="00146F97" w:rsidRPr="00D519F2" w:rsidRDefault="00146F97" w:rsidP="0014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F2">
              <w:rPr>
                <w:rFonts w:ascii="Times New Roman" w:hAnsi="Times New Roman" w:cs="Times New Roman"/>
                <w:sz w:val="24"/>
                <w:szCs w:val="24"/>
              </w:rPr>
              <w:t>[5] Prof. Dr. Nijazi Ibrahimi, Vizatim teknik, Prishtinë, 1986</w:t>
            </w:r>
            <w:r w:rsidR="00F10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637CA9" w14:textId="77777777" w:rsidR="00146F97" w:rsidRPr="00D519F2" w:rsidRDefault="00146F97" w:rsidP="0014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F2">
              <w:rPr>
                <w:rFonts w:ascii="Times New Roman" w:hAnsi="Times New Roman" w:cs="Times New Roman"/>
                <w:sz w:val="24"/>
                <w:szCs w:val="24"/>
              </w:rPr>
              <w:t>[6] Hans Hoischen, Technisches Zeichnen, Grundlagen, Normen, Beispeiele Darstellende Geometrie, Cornelsen, 2002.</w:t>
            </w:r>
          </w:p>
          <w:p w14:paraId="68B22BD2" w14:textId="63097B82" w:rsidR="00146F97" w:rsidRPr="00D519F2" w:rsidRDefault="00146F97" w:rsidP="0014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F2">
              <w:rPr>
                <w:rFonts w:ascii="Times New Roman" w:hAnsi="Times New Roman" w:cs="Times New Roman"/>
                <w:sz w:val="24"/>
                <w:szCs w:val="24"/>
              </w:rPr>
              <w:t>[7] Colin H Simmons, Dennis E Maguire, Manual of Engineering Drawing, Elsevier, 2004.</w:t>
            </w:r>
          </w:p>
          <w:p w14:paraId="1647FB9F" w14:textId="02EE20CF" w:rsidR="00146F97" w:rsidRPr="006D5B0D" w:rsidRDefault="00146F97" w:rsidP="0014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B0D">
              <w:rPr>
                <w:rFonts w:ascii="Times New Roman" w:hAnsi="Times New Roman" w:cs="Times New Roman"/>
                <w:sz w:val="24"/>
                <w:szCs w:val="24"/>
              </w:rPr>
              <w:t>[8] Milan Opali</w:t>
            </w:r>
            <w:r w:rsidR="00F10EE5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6D5B0D">
              <w:rPr>
                <w:rFonts w:ascii="Times New Roman" w:hAnsi="Times New Roman" w:cs="Times New Roman"/>
                <w:sz w:val="24"/>
                <w:szCs w:val="24"/>
              </w:rPr>
              <w:t>, Milan Kljajin, Slavko Sebastijanovi</w:t>
            </w:r>
            <w:r w:rsidR="00F10EE5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6D5B0D">
              <w:rPr>
                <w:rFonts w:ascii="Times New Roman" w:hAnsi="Times New Roman" w:cs="Times New Roman"/>
                <w:sz w:val="24"/>
                <w:szCs w:val="24"/>
              </w:rPr>
              <w:t>, Tehničko crtanje, sveučilišni ud</w:t>
            </w:r>
            <w:r w:rsidR="00F10EE5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6D5B0D">
              <w:rPr>
                <w:rFonts w:ascii="Times New Roman" w:hAnsi="Times New Roman" w:cs="Times New Roman"/>
                <w:sz w:val="24"/>
                <w:szCs w:val="24"/>
              </w:rPr>
              <w:t>benik, Fakultet Strojarstva i brodogradnje, Zagreb, 2007.</w:t>
            </w:r>
          </w:p>
          <w:p w14:paraId="7C2797DC" w14:textId="5E837723" w:rsidR="00146F97" w:rsidRPr="00E92F41" w:rsidRDefault="00146F97" w:rsidP="0014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4AB">
              <w:rPr>
                <w:sz w:val="24"/>
                <w:szCs w:val="24"/>
              </w:rPr>
              <w:t xml:space="preserve">[9] Standardet CEN/EN, </w:t>
            </w:r>
            <w:hyperlink r:id="rId6" w:history="1">
              <w:r w:rsidR="00D519F2" w:rsidRPr="008D5C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https://www.cen.eu</w:t>
              </w:r>
            </w:hyperlink>
            <w:r w:rsidR="00D519F2">
              <w:t xml:space="preserve">  </w:t>
            </w:r>
          </w:p>
        </w:tc>
      </w:tr>
    </w:tbl>
    <w:p w14:paraId="2B33CF3D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8E2E2C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8E2E2C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8E2E2C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8E2E2C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2656C70F" w:rsidR="003449BC" w:rsidRPr="008E2E2C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Mjetet </w:t>
            </w:r>
            <w:r w:rsidR="008F5B07">
              <w:rPr>
                <w:rFonts w:ascii="Times New Roman" w:hAnsi="Times New Roman" w:cs="Times New Roman"/>
                <w:sz w:val="24"/>
                <w:szCs w:val="24"/>
              </w:rPr>
              <w:t xml:space="preserve">dhe pajisjet 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e përdorura gjatë orës së mësimit duhet të pastrohen </w:t>
            </w:r>
            <w:r w:rsidR="00E274AB" w:rsidRPr="008E2E2C">
              <w:rPr>
                <w:rFonts w:ascii="Times New Roman" w:hAnsi="Times New Roman" w:cs="Times New Roman"/>
                <w:sz w:val="24"/>
                <w:szCs w:val="24"/>
              </w:rPr>
              <w:t>në fund të orës së mësimit</w:t>
            </w:r>
            <w:r w:rsidR="00E2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dhe të ruhen</w:t>
            </w:r>
            <w:r w:rsidR="00E27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85ACBB" w14:textId="6C3BBFB1" w:rsidR="003449BC" w:rsidRPr="008E2E2C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Celularët/telefonat inteligjentë dhe pajisjet e tjera elektronike (p.sh. iPod</w:t>
            </w:r>
            <w:r w:rsidR="00D05C97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ndezen me dridhje) dhe të 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</w:t>
            </w:r>
            <w:r w:rsidR="00E27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laptopë</w:t>
            </w:r>
            <w:r w:rsidR="00E274A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dhe tabletë</w:t>
            </w:r>
            <w:r w:rsidR="00E274A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lejohen vetëm për përdorim të qetë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09CD0979" w14:textId="77777777" w:rsidR="008B314C" w:rsidRPr="008E2E2C" w:rsidRDefault="008B314C" w:rsidP="003C6448">
      <w:pPr>
        <w:rPr>
          <w:rFonts w:ascii="Times New Roman" w:hAnsi="Times New Roman" w:cs="Times New Roman"/>
          <w:sz w:val="24"/>
          <w:szCs w:val="24"/>
        </w:rPr>
      </w:pPr>
    </w:p>
    <w:p w14:paraId="23A0A8D3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8E2E2C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8E2E2C">
        <w:rPr>
          <w:rFonts w:ascii="Times New Roman" w:hAnsi="Times New Roman" w:cs="Times New Roman"/>
          <w:b/>
          <w:sz w:val="24"/>
          <w:szCs w:val="24"/>
        </w:rPr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53C64" w:rsidRPr="008E2E2C" w14:paraId="2F004249" w14:textId="77777777" w:rsidTr="00F57214">
        <w:tc>
          <w:tcPr>
            <w:tcW w:w="1555" w:type="dxa"/>
          </w:tcPr>
          <w:p w14:paraId="4B32B219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796" w:type="dxa"/>
          </w:tcPr>
          <w:p w14:paraId="72E7504B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BF0AF6" w:rsidRPr="00D34FCE" w14:paraId="289BBC6B" w14:textId="77777777" w:rsidTr="00F57214">
        <w:tc>
          <w:tcPr>
            <w:tcW w:w="1555" w:type="dxa"/>
          </w:tcPr>
          <w:p w14:paraId="37FBB9DF" w14:textId="42B9F0D5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4F166133" w14:textId="738E0D88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Hyrje në Grafikën Inxhinierike. Informimi mbi lëndën, testet, detyrat seminarike. Instrumentet grafike dhe përdorimi i tyre. Llojet e vizatimeve. Standaret. Numrat standard</w:t>
            </w:r>
            <w:r w:rsidR="00657101">
              <w:rPr>
                <w:rFonts w:cstheme="majorBidi"/>
                <w:sz w:val="24"/>
                <w:szCs w:val="24"/>
              </w:rPr>
              <w:t>ë</w:t>
            </w:r>
            <w:r w:rsidRPr="00D34FCE">
              <w:rPr>
                <w:sz w:val="24"/>
                <w:szCs w:val="24"/>
              </w:rPr>
              <w:t xml:space="preserve">. </w:t>
            </w:r>
          </w:p>
        </w:tc>
      </w:tr>
      <w:tr w:rsidR="00BF0AF6" w:rsidRPr="00D34FCE" w14:paraId="74664370" w14:textId="77777777" w:rsidTr="00F57214">
        <w:tc>
          <w:tcPr>
            <w:tcW w:w="1555" w:type="dxa"/>
          </w:tcPr>
          <w:p w14:paraId="111F0E51" w14:textId="7258F24B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6F74F19F" w14:textId="5C363226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i/>
                <w:sz w:val="24"/>
                <w:szCs w:val="24"/>
              </w:rPr>
              <w:t>Vizatimi Teknik</w:t>
            </w:r>
            <w:r w:rsidRPr="00D34FCE">
              <w:rPr>
                <w:sz w:val="24"/>
                <w:szCs w:val="24"/>
              </w:rPr>
              <w:t>. Llojet e vijave dhe aplikimi i tyre. Formatet dhe palosja e tyre. Tabelat. Përpjesët në vizatim teknik.</w:t>
            </w:r>
          </w:p>
        </w:tc>
      </w:tr>
      <w:tr w:rsidR="00BF0AF6" w:rsidRPr="00D34FCE" w14:paraId="503FB759" w14:textId="77777777" w:rsidTr="00F57214">
        <w:tc>
          <w:tcPr>
            <w:tcW w:w="1555" w:type="dxa"/>
          </w:tcPr>
          <w:p w14:paraId="79981502" w14:textId="77777777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A6ADA26" w14:textId="1EA0A0C3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 xml:space="preserve">Vizatimi i konstruksioneve gjeometrike. Konstruktimi i rasteve të drejtëzave. Konstruktimi i këndeve. Konstruktimi i harkut dhe tangjentës në hark. Konstruktimi i shumkëndëshave. Vijat e ndërlikuara. Konstruktimi i lakoreve – elipsa, </w:t>
            </w:r>
            <w:r w:rsidRPr="00D34FCE">
              <w:rPr>
                <w:bCs/>
                <w:iCs/>
                <w:sz w:val="24"/>
                <w:szCs w:val="24"/>
              </w:rPr>
              <w:t xml:space="preserve">parabolla, hiperbolla, evolventa e rrethit, </w:t>
            </w:r>
            <w:r w:rsidR="00433F46">
              <w:rPr>
                <w:bCs/>
                <w:iCs/>
                <w:sz w:val="24"/>
                <w:szCs w:val="24"/>
              </w:rPr>
              <w:t>c</w:t>
            </w:r>
            <w:r w:rsidRPr="00D34FCE">
              <w:rPr>
                <w:bCs/>
                <w:iCs/>
                <w:sz w:val="24"/>
                <w:szCs w:val="24"/>
              </w:rPr>
              <w:t xml:space="preserve">ikloida, </w:t>
            </w:r>
            <w:r w:rsidR="00433F46">
              <w:rPr>
                <w:bCs/>
                <w:iCs/>
                <w:sz w:val="24"/>
                <w:szCs w:val="24"/>
              </w:rPr>
              <w:t>s</w:t>
            </w:r>
            <w:r w:rsidRPr="00D34FCE">
              <w:rPr>
                <w:bCs/>
                <w:iCs/>
                <w:sz w:val="24"/>
                <w:szCs w:val="24"/>
              </w:rPr>
              <w:t xml:space="preserve">pirala, </w:t>
            </w:r>
            <w:r w:rsidR="00433F46">
              <w:rPr>
                <w:bCs/>
                <w:iCs/>
                <w:sz w:val="24"/>
                <w:szCs w:val="24"/>
              </w:rPr>
              <w:t>h</w:t>
            </w:r>
            <w:r w:rsidRPr="00D34FCE">
              <w:rPr>
                <w:bCs/>
                <w:iCs/>
                <w:sz w:val="24"/>
                <w:szCs w:val="24"/>
              </w:rPr>
              <w:t>eliksa.</w:t>
            </w:r>
          </w:p>
        </w:tc>
      </w:tr>
      <w:tr w:rsidR="00BF0AF6" w:rsidRPr="00D34FCE" w14:paraId="298986CB" w14:textId="77777777" w:rsidTr="00F57214">
        <w:tc>
          <w:tcPr>
            <w:tcW w:w="1555" w:type="dxa"/>
          </w:tcPr>
          <w:p w14:paraId="3769BF7A" w14:textId="0A4EF361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6CD82B96" w14:textId="77777777" w:rsidR="00BF0AF6" w:rsidRPr="00D34FCE" w:rsidRDefault="00BF0AF6" w:rsidP="00BF0AF6">
            <w:pPr>
              <w:rPr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Shkronjat teknike, shkrimi i drejtë dhe i pjerrët, simbolet.</w:t>
            </w:r>
          </w:p>
          <w:p w14:paraId="6EE3859B" w14:textId="3C0D1307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Testi I intermediar.</w:t>
            </w:r>
          </w:p>
        </w:tc>
      </w:tr>
      <w:tr w:rsidR="00BF0AF6" w:rsidRPr="00D34FCE" w14:paraId="1BDDA121" w14:textId="77777777" w:rsidTr="00F57214">
        <w:tc>
          <w:tcPr>
            <w:tcW w:w="1555" w:type="dxa"/>
          </w:tcPr>
          <w:p w14:paraId="7903B7C6" w14:textId="207B3D5E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1EAE32C0" w14:textId="5C9FBEFF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Dimensionimi. Rregullat e dimensionimit dhe kuotimit.</w:t>
            </w:r>
          </w:p>
        </w:tc>
      </w:tr>
      <w:tr w:rsidR="00BF0AF6" w:rsidRPr="00D34FCE" w14:paraId="6C0C9062" w14:textId="77777777" w:rsidTr="00F57214">
        <w:tc>
          <w:tcPr>
            <w:tcW w:w="1555" w:type="dxa"/>
          </w:tcPr>
          <w:p w14:paraId="1C04DA69" w14:textId="77777777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013BBE9F" w14:textId="776F131A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Materialet në vizatim teknik. Kualiteti i sipërfaqeve dhe shenjat e kualitetit.</w:t>
            </w:r>
          </w:p>
        </w:tc>
      </w:tr>
      <w:tr w:rsidR="00BF0AF6" w:rsidRPr="00D34FCE" w14:paraId="124A7A65" w14:textId="77777777" w:rsidTr="00F57214">
        <w:tc>
          <w:tcPr>
            <w:tcW w:w="1555" w:type="dxa"/>
          </w:tcPr>
          <w:p w14:paraId="390BE967" w14:textId="77777777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905E5B8" w14:textId="7B3CBDCF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Projeksionet. Llojet e projeksioneve. Projeksioni izometrik. Projeksioni i pjerrët. Projeksioni perspektiv.</w:t>
            </w:r>
          </w:p>
        </w:tc>
      </w:tr>
      <w:tr w:rsidR="00BF0AF6" w:rsidRPr="00D34FCE" w14:paraId="16A87885" w14:textId="77777777" w:rsidTr="00F57214">
        <w:tc>
          <w:tcPr>
            <w:tcW w:w="1555" w:type="dxa"/>
          </w:tcPr>
          <w:p w14:paraId="4E463128" w14:textId="455417F0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75D8BBC5" w14:textId="644AA7A8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Prerjet. Prerjet e trupave me rrafshe. Prerja e plotë, gjysmë prerjet, prerjet e pjesërishme. Prerjet e shkallëzuara.</w:t>
            </w:r>
          </w:p>
        </w:tc>
      </w:tr>
      <w:tr w:rsidR="00BF0AF6" w:rsidRPr="00D34FCE" w14:paraId="43938F4B" w14:textId="77777777" w:rsidTr="00F57214">
        <w:tc>
          <w:tcPr>
            <w:tcW w:w="1555" w:type="dxa"/>
          </w:tcPr>
          <w:p w14:paraId="58432FC6" w14:textId="0EED1B8C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248CAB47" w14:textId="1F0EC2CE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 xml:space="preserve">Paraqitja e saktë e vizatimeve. Skicimi. Paraqitja e skicës së vizatimit.  Paraqitja (vizualizimi) i detaleve në tri projeksione ortogonale. </w:t>
            </w:r>
          </w:p>
        </w:tc>
      </w:tr>
      <w:tr w:rsidR="00BF0AF6" w:rsidRPr="00D34FCE" w14:paraId="703E7F79" w14:textId="77777777" w:rsidTr="00F57214">
        <w:tc>
          <w:tcPr>
            <w:tcW w:w="1555" w:type="dxa"/>
          </w:tcPr>
          <w:p w14:paraId="582434D9" w14:textId="77777777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14542C75" w14:textId="77777777" w:rsidR="00BF0AF6" w:rsidRPr="00D34FCE" w:rsidRDefault="00BF0AF6" w:rsidP="00BF0AF6">
            <w:pPr>
              <w:rPr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Paraqitja e pjesës makinerike në vizatim teknik me të gjitha elementet. Shembuj të zgjidhur. Simbolet në vizatim teknik.</w:t>
            </w:r>
          </w:p>
          <w:p w14:paraId="000C3AF5" w14:textId="7C3A5340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Testi II intermediar.</w:t>
            </w:r>
          </w:p>
        </w:tc>
      </w:tr>
      <w:tr w:rsidR="00BF0AF6" w:rsidRPr="00D34FCE" w14:paraId="3C043251" w14:textId="77777777" w:rsidTr="00261ABB">
        <w:trPr>
          <w:trHeight w:val="341"/>
        </w:trPr>
        <w:tc>
          <w:tcPr>
            <w:tcW w:w="1555" w:type="dxa"/>
          </w:tcPr>
          <w:p w14:paraId="28AD4730" w14:textId="77777777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14:paraId="1A90B1DD" w14:textId="6498BAC7" w:rsidR="00BF0AF6" w:rsidRPr="00D34FCE" w:rsidRDefault="00BF0AF6" w:rsidP="00BF0AF6">
            <w:pPr>
              <w:spacing w:line="278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i/>
                <w:sz w:val="24"/>
                <w:szCs w:val="24"/>
              </w:rPr>
              <w:t>Gjeometri deskriptive</w:t>
            </w:r>
            <w:r w:rsidRPr="00D34FCE">
              <w:rPr>
                <w:sz w:val="24"/>
                <w:szCs w:val="24"/>
              </w:rPr>
              <w:t xml:space="preserve">. Projeksionet e pikave. Projeksionet e drejtëzave. Rrafshet e projektimit. Raporti në mes të pikës, drejtëzës dhe rrafshit.  </w:t>
            </w:r>
          </w:p>
        </w:tc>
      </w:tr>
      <w:tr w:rsidR="00BF0AF6" w:rsidRPr="00D34FCE" w14:paraId="15D0F255" w14:textId="77777777" w:rsidTr="00F57214">
        <w:tc>
          <w:tcPr>
            <w:tcW w:w="1555" w:type="dxa"/>
          </w:tcPr>
          <w:p w14:paraId="080B2EC3" w14:textId="61D88061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14:paraId="300DA072" w14:textId="5242604C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bCs/>
                <w:sz w:val="24"/>
                <w:szCs w:val="24"/>
              </w:rPr>
              <w:t>Transformimi dhe rrotullimi.</w:t>
            </w:r>
            <w:r w:rsidRPr="00D34FCE">
              <w:rPr>
                <w:sz w:val="24"/>
                <w:szCs w:val="24"/>
              </w:rPr>
              <w:t xml:space="preserve"> Projeksionet e figurave në rrafsh. P</w:t>
            </w:r>
            <w:r w:rsidRPr="00D34FCE">
              <w:rPr>
                <w:bCs/>
                <w:sz w:val="24"/>
                <w:szCs w:val="24"/>
              </w:rPr>
              <w:t>roblemet metrike.</w:t>
            </w:r>
            <w:r w:rsidRPr="00D34FCE">
              <w:rPr>
                <w:sz w:val="24"/>
                <w:szCs w:val="24"/>
              </w:rPr>
              <w:t xml:space="preserve"> </w:t>
            </w:r>
          </w:p>
        </w:tc>
      </w:tr>
      <w:tr w:rsidR="00BF0AF6" w:rsidRPr="00D34FCE" w14:paraId="31E88D36" w14:textId="77777777" w:rsidTr="00F57214">
        <w:tc>
          <w:tcPr>
            <w:tcW w:w="1555" w:type="dxa"/>
          </w:tcPr>
          <w:p w14:paraId="217F7E56" w14:textId="1E3E528D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14:paraId="331E712D" w14:textId="43D006B1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Zhvillimi i sipërfaqes së trupave</w:t>
            </w:r>
            <w:r w:rsidR="00F1716D">
              <w:rPr>
                <w:sz w:val="24"/>
                <w:szCs w:val="24"/>
              </w:rPr>
              <w:t>.</w:t>
            </w:r>
          </w:p>
        </w:tc>
      </w:tr>
      <w:tr w:rsidR="00BF0AF6" w:rsidRPr="00D34FCE" w14:paraId="4D1D99F9" w14:textId="77777777" w:rsidTr="00D34FCE">
        <w:trPr>
          <w:trHeight w:val="60"/>
        </w:trPr>
        <w:tc>
          <w:tcPr>
            <w:tcW w:w="1555" w:type="dxa"/>
          </w:tcPr>
          <w:p w14:paraId="2F402D55" w14:textId="77777777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14:paraId="4C17EE4B" w14:textId="1E9D7D82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Paraqitja e trupave në aksonometri</w:t>
            </w:r>
            <w:r w:rsidR="00F1716D">
              <w:rPr>
                <w:sz w:val="24"/>
                <w:szCs w:val="24"/>
              </w:rPr>
              <w:t>.</w:t>
            </w:r>
          </w:p>
        </w:tc>
      </w:tr>
      <w:tr w:rsidR="00BF0AF6" w:rsidRPr="00D34FCE" w14:paraId="76620FE7" w14:textId="77777777" w:rsidTr="00F57214">
        <w:tc>
          <w:tcPr>
            <w:tcW w:w="1555" w:type="dxa"/>
          </w:tcPr>
          <w:p w14:paraId="03A8C06D" w14:textId="77777777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14:paraId="7BEAB657" w14:textId="64FB39E1" w:rsidR="00BF0AF6" w:rsidRPr="00D34FCE" w:rsidRDefault="00BF0AF6" w:rsidP="00BF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CE">
              <w:rPr>
                <w:sz w:val="24"/>
                <w:szCs w:val="24"/>
              </w:rPr>
              <w:t>Testi III intermediar</w:t>
            </w:r>
          </w:p>
        </w:tc>
      </w:tr>
    </w:tbl>
    <w:p w14:paraId="2B090B21" w14:textId="77777777" w:rsidR="00C53C64" w:rsidRPr="00D34FCE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sectPr w:rsidR="00C53C64" w:rsidRPr="00D3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5F"/>
    <w:multiLevelType w:val="multilevel"/>
    <w:tmpl w:val="D8166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61F4C32"/>
    <w:multiLevelType w:val="hybridMultilevel"/>
    <w:tmpl w:val="D0A4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7055"/>
    <w:multiLevelType w:val="hybridMultilevel"/>
    <w:tmpl w:val="AACAA2FC"/>
    <w:lvl w:ilvl="0" w:tplc="B8309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539A9"/>
    <w:multiLevelType w:val="hybridMultilevel"/>
    <w:tmpl w:val="6EDA2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FFE"/>
    <w:multiLevelType w:val="hybridMultilevel"/>
    <w:tmpl w:val="30823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43E2C"/>
    <w:multiLevelType w:val="hybridMultilevel"/>
    <w:tmpl w:val="4BA4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B71"/>
    <w:multiLevelType w:val="hybridMultilevel"/>
    <w:tmpl w:val="1CFC6AD2"/>
    <w:lvl w:ilvl="0" w:tplc="590E02F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E477F"/>
    <w:multiLevelType w:val="hybridMultilevel"/>
    <w:tmpl w:val="3B825932"/>
    <w:lvl w:ilvl="0" w:tplc="72964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AC070A"/>
    <w:multiLevelType w:val="hybridMultilevel"/>
    <w:tmpl w:val="995AA528"/>
    <w:lvl w:ilvl="0" w:tplc="82F2D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638EF"/>
    <w:multiLevelType w:val="hybridMultilevel"/>
    <w:tmpl w:val="83BC6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54DF0"/>
    <w:multiLevelType w:val="hybridMultilevel"/>
    <w:tmpl w:val="8A0A2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B1108A"/>
    <w:multiLevelType w:val="hybridMultilevel"/>
    <w:tmpl w:val="48E4E9D8"/>
    <w:lvl w:ilvl="0" w:tplc="976E0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92969"/>
    <w:multiLevelType w:val="hybridMultilevel"/>
    <w:tmpl w:val="C324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F3564"/>
    <w:multiLevelType w:val="multilevel"/>
    <w:tmpl w:val="D750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B4482"/>
    <w:multiLevelType w:val="hybridMultilevel"/>
    <w:tmpl w:val="EC94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57374"/>
    <w:multiLevelType w:val="hybridMultilevel"/>
    <w:tmpl w:val="06EA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F7511F"/>
    <w:multiLevelType w:val="hybridMultilevel"/>
    <w:tmpl w:val="997CD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D32D6"/>
    <w:multiLevelType w:val="hybridMultilevel"/>
    <w:tmpl w:val="E9A0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169DC"/>
    <w:multiLevelType w:val="multilevel"/>
    <w:tmpl w:val="B10E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6B7A7E"/>
    <w:multiLevelType w:val="multilevel"/>
    <w:tmpl w:val="1C2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F1551"/>
    <w:multiLevelType w:val="multilevel"/>
    <w:tmpl w:val="D8166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7AF907B5"/>
    <w:multiLevelType w:val="hybridMultilevel"/>
    <w:tmpl w:val="9D0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60A52"/>
    <w:multiLevelType w:val="hybridMultilevel"/>
    <w:tmpl w:val="486A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20401">
    <w:abstractNumId w:val="29"/>
  </w:num>
  <w:num w:numId="2" w16cid:durableId="566957032">
    <w:abstractNumId w:val="4"/>
  </w:num>
  <w:num w:numId="3" w16cid:durableId="687410860">
    <w:abstractNumId w:val="8"/>
  </w:num>
  <w:num w:numId="4" w16cid:durableId="1810515591">
    <w:abstractNumId w:val="9"/>
  </w:num>
  <w:num w:numId="5" w16cid:durableId="310603381">
    <w:abstractNumId w:val="21"/>
  </w:num>
  <w:num w:numId="6" w16cid:durableId="1176966417">
    <w:abstractNumId w:val="13"/>
  </w:num>
  <w:num w:numId="7" w16cid:durableId="431517164">
    <w:abstractNumId w:val="20"/>
  </w:num>
  <w:num w:numId="8" w16cid:durableId="442043333">
    <w:abstractNumId w:val="6"/>
  </w:num>
  <w:num w:numId="9" w16cid:durableId="668680077">
    <w:abstractNumId w:val="14"/>
  </w:num>
  <w:num w:numId="10" w16cid:durableId="236208346">
    <w:abstractNumId w:val="3"/>
  </w:num>
  <w:num w:numId="11" w16cid:durableId="186843614">
    <w:abstractNumId w:val="15"/>
  </w:num>
  <w:num w:numId="12" w16cid:durableId="136923613">
    <w:abstractNumId w:val="17"/>
  </w:num>
  <w:num w:numId="13" w16cid:durableId="243532619">
    <w:abstractNumId w:val="24"/>
  </w:num>
  <w:num w:numId="14" w16cid:durableId="390158195">
    <w:abstractNumId w:val="25"/>
  </w:num>
  <w:num w:numId="15" w16cid:durableId="1962762796">
    <w:abstractNumId w:val="11"/>
  </w:num>
  <w:num w:numId="16" w16cid:durableId="1679842458">
    <w:abstractNumId w:val="5"/>
  </w:num>
  <w:num w:numId="17" w16cid:durableId="375618710">
    <w:abstractNumId w:val="0"/>
  </w:num>
  <w:num w:numId="18" w16cid:durableId="1952861020">
    <w:abstractNumId w:val="26"/>
  </w:num>
  <w:num w:numId="19" w16cid:durableId="1047685876">
    <w:abstractNumId w:val="23"/>
  </w:num>
  <w:num w:numId="20" w16cid:durableId="1473673322">
    <w:abstractNumId w:val="28"/>
  </w:num>
  <w:num w:numId="21" w16cid:durableId="1028946827">
    <w:abstractNumId w:val="27"/>
  </w:num>
  <w:num w:numId="22" w16cid:durableId="1732849571">
    <w:abstractNumId w:val="7"/>
  </w:num>
  <w:num w:numId="23" w16cid:durableId="1044410575">
    <w:abstractNumId w:val="18"/>
  </w:num>
  <w:num w:numId="24" w16cid:durableId="2106610895">
    <w:abstractNumId w:val="16"/>
  </w:num>
  <w:num w:numId="25" w16cid:durableId="2106264847">
    <w:abstractNumId w:val="10"/>
  </w:num>
  <w:num w:numId="26" w16cid:durableId="140654580">
    <w:abstractNumId w:val="1"/>
  </w:num>
  <w:num w:numId="27" w16cid:durableId="1376614894">
    <w:abstractNumId w:val="19"/>
  </w:num>
  <w:num w:numId="28" w16cid:durableId="956762605">
    <w:abstractNumId w:val="12"/>
  </w:num>
  <w:num w:numId="29" w16cid:durableId="1234315065">
    <w:abstractNumId w:val="22"/>
  </w:num>
  <w:num w:numId="30" w16cid:durableId="44403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050FA"/>
    <w:rsid w:val="000379E2"/>
    <w:rsid w:val="000435C3"/>
    <w:rsid w:val="00072FCD"/>
    <w:rsid w:val="00073A03"/>
    <w:rsid w:val="00090A7C"/>
    <w:rsid w:val="000E1F40"/>
    <w:rsid w:val="000F4B4B"/>
    <w:rsid w:val="00127C81"/>
    <w:rsid w:val="00146F97"/>
    <w:rsid w:val="00194F87"/>
    <w:rsid w:val="001C785F"/>
    <w:rsid w:val="001D2C16"/>
    <w:rsid w:val="001E1835"/>
    <w:rsid w:val="00212795"/>
    <w:rsid w:val="00213D64"/>
    <w:rsid w:val="00224310"/>
    <w:rsid w:val="00230DD2"/>
    <w:rsid w:val="00251840"/>
    <w:rsid w:val="00261ABB"/>
    <w:rsid w:val="00274B86"/>
    <w:rsid w:val="00290AD4"/>
    <w:rsid w:val="002C25BE"/>
    <w:rsid w:val="002C7791"/>
    <w:rsid w:val="002D4399"/>
    <w:rsid w:val="002D45F1"/>
    <w:rsid w:val="002E6472"/>
    <w:rsid w:val="003042BA"/>
    <w:rsid w:val="0031627E"/>
    <w:rsid w:val="003235C5"/>
    <w:rsid w:val="0034101A"/>
    <w:rsid w:val="00341E54"/>
    <w:rsid w:val="003449BC"/>
    <w:rsid w:val="003471D9"/>
    <w:rsid w:val="00360577"/>
    <w:rsid w:val="0036144B"/>
    <w:rsid w:val="00374769"/>
    <w:rsid w:val="003854ED"/>
    <w:rsid w:val="003A4773"/>
    <w:rsid w:val="003C6448"/>
    <w:rsid w:val="003D179D"/>
    <w:rsid w:val="003F7C67"/>
    <w:rsid w:val="004257D4"/>
    <w:rsid w:val="00427D6C"/>
    <w:rsid w:val="00433F46"/>
    <w:rsid w:val="00456C61"/>
    <w:rsid w:val="0049205D"/>
    <w:rsid w:val="004C27A6"/>
    <w:rsid w:val="00526F39"/>
    <w:rsid w:val="00544448"/>
    <w:rsid w:val="005E0216"/>
    <w:rsid w:val="005F75EA"/>
    <w:rsid w:val="0060367C"/>
    <w:rsid w:val="00624B00"/>
    <w:rsid w:val="00627F77"/>
    <w:rsid w:val="0063628A"/>
    <w:rsid w:val="00642716"/>
    <w:rsid w:val="00657101"/>
    <w:rsid w:val="006572EC"/>
    <w:rsid w:val="006720CC"/>
    <w:rsid w:val="00682528"/>
    <w:rsid w:val="00686180"/>
    <w:rsid w:val="006B314E"/>
    <w:rsid w:val="006D5B0D"/>
    <w:rsid w:val="006E5ACB"/>
    <w:rsid w:val="006F4E77"/>
    <w:rsid w:val="007059AE"/>
    <w:rsid w:val="0072006B"/>
    <w:rsid w:val="00731D44"/>
    <w:rsid w:val="00736A01"/>
    <w:rsid w:val="00744FCB"/>
    <w:rsid w:val="0076281A"/>
    <w:rsid w:val="00764637"/>
    <w:rsid w:val="00786080"/>
    <w:rsid w:val="007951F9"/>
    <w:rsid w:val="007F32C4"/>
    <w:rsid w:val="0081070D"/>
    <w:rsid w:val="0085346C"/>
    <w:rsid w:val="00855593"/>
    <w:rsid w:val="00860759"/>
    <w:rsid w:val="0088681E"/>
    <w:rsid w:val="008B314C"/>
    <w:rsid w:val="008B4527"/>
    <w:rsid w:val="008B56B0"/>
    <w:rsid w:val="008C75AF"/>
    <w:rsid w:val="008E2E2C"/>
    <w:rsid w:val="008E5BEC"/>
    <w:rsid w:val="008F5B07"/>
    <w:rsid w:val="009033DB"/>
    <w:rsid w:val="00904B50"/>
    <w:rsid w:val="00920FBF"/>
    <w:rsid w:val="00964E6D"/>
    <w:rsid w:val="00997F20"/>
    <w:rsid w:val="009A1C49"/>
    <w:rsid w:val="009C54AD"/>
    <w:rsid w:val="00A00587"/>
    <w:rsid w:val="00A4412A"/>
    <w:rsid w:val="00A815E6"/>
    <w:rsid w:val="00A83631"/>
    <w:rsid w:val="00AF0097"/>
    <w:rsid w:val="00B03EA2"/>
    <w:rsid w:val="00B21582"/>
    <w:rsid w:val="00B42303"/>
    <w:rsid w:val="00B43C41"/>
    <w:rsid w:val="00B601DA"/>
    <w:rsid w:val="00BB3F2D"/>
    <w:rsid w:val="00BC43FE"/>
    <w:rsid w:val="00BF0AF6"/>
    <w:rsid w:val="00BF2BA1"/>
    <w:rsid w:val="00C0090B"/>
    <w:rsid w:val="00C53C64"/>
    <w:rsid w:val="00C60568"/>
    <w:rsid w:val="00C75D51"/>
    <w:rsid w:val="00CE36DE"/>
    <w:rsid w:val="00D055AE"/>
    <w:rsid w:val="00D05C97"/>
    <w:rsid w:val="00D12CFF"/>
    <w:rsid w:val="00D16A55"/>
    <w:rsid w:val="00D33515"/>
    <w:rsid w:val="00D33969"/>
    <w:rsid w:val="00D34FCE"/>
    <w:rsid w:val="00D519F2"/>
    <w:rsid w:val="00D54B29"/>
    <w:rsid w:val="00D60577"/>
    <w:rsid w:val="00D701B2"/>
    <w:rsid w:val="00D76E73"/>
    <w:rsid w:val="00D81CC4"/>
    <w:rsid w:val="00D97956"/>
    <w:rsid w:val="00DB1E97"/>
    <w:rsid w:val="00DB776E"/>
    <w:rsid w:val="00DD493A"/>
    <w:rsid w:val="00DD5EEF"/>
    <w:rsid w:val="00DE3A64"/>
    <w:rsid w:val="00DF4068"/>
    <w:rsid w:val="00E17C12"/>
    <w:rsid w:val="00E274AB"/>
    <w:rsid w:val="00E40C41"/>
    <w:rsid w:val="00E425C8"/>
    <w:rsid w:val="00E56AF7"/>
    <w:rsid w:val="00E6260F"/>
    <w:rsid w:val="00E641A4"/>
    <w:rsid w:val="00E67789"/>
    <w:rsid w:val="00E92F41"/>
    <w:rsid w:val="00E9596B"/>
    <w:rsid w:val="00EB06F6"/>
    <w:rsid w:val="00EB7AE1"/>
    <w:rsid w:val="00EC2D04"/>
    <w:rsid w:val="00F0677F"/>
    <w:rsid w:val="00F10EE5"/>
    <w:rsid w:val="00F1716D"/>
    <w:rsid w:val="00F272F9"/>
    <w:rsid w:val="00F50E3E"/>
    <w:rsid w:val="00F57214"/>
    <w:rsid w:val="00F8010A"/>
    <w:rsid w:val="00F904A1"/>
    <w:rsid w:val="00FB5566"/>
    <w:rsid w:val="00FE3A80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uiPriority w:val="39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6260F"/>
  </w:style>
  <w:style w:type="paragraph" w:styleId="Footer">
    <w:name w:val="footer"/>
    <w:basedOn w:val="Normal"/>
    <w:link w:val="FooterChar"/>
    <w:rsid w:val="00E425C8"/>
    <w:pPr>
      <w:tabs>
        <w:tab w:val="center" w:pos="4320"/>
        <w:tab w:val="right" w:pos="8640"/>
      </w:tabs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E425C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16A55"/>
    <w:pPr>
      <w:spacing w:line="240" w:lineRule="auto"/>
      <w:ind w:right="0"/>
      <w:jc w:val="center"/>
    </w:pPr>
    <w:rPr>
      <w:rFonts w:ascii="Cambria" w:eastAsia="Times New Roman" w:hAnsi="Cambria" w:cs="Times New Roman"/>
      <w:b/>
      <w:color w:val="FF0000"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16A55"/>
    <w:rPr>
      <w:rFonts w:ascii="Cambria" w:eastAsia="Times New Roman" w:hAnsi="Cambria" w:cs="Times New Roman"/>
      <w:b/>
      <w:color w:val="FF0000"/>
      <w:sz w:val="40"/>
      <w:szCs w:val="20"/>
    </w:rPr>
  </w:style>
  <w:style w:type="character" w:customStyle="1" w:styleId="ft51">
    <w:name w:val="ft51"/>
    <w:rsid w:val="00146F97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146F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8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91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27CC-F3ED-4F43-A3A6-57435DBB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Arbnor Pajaziti</cp:lastModifiedBy>
  <cp:revision>127</cp:revision>
  <dcterms:created xsi:type="dcterms:W3CDTF">2025-01-14T13:56:00Z</dcterms:created>
  <dcterms:modified xsi:type="dcterms:W3CDTF">2025-09-21T18:22:00Z</dcterms:modified>
</cp:coreProperties>
</file>