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8"/>
        <w:gridCol w:w="1883"/>
        <w:gridCol w:w="1701"/>
        <w:gridCol w:w="2896"/>
      </w:tblGrid>
      <w:tr w:rsidR="004B5D76" w:rsidRPr="004B5D76" w:rsidTr="00024494">
        <w:tc>
          <w:tcPr>
            <w:tcW w:w="9468" w:type="dxa"/>
            <w:gridSpan w:val="4"/>
            <w:shd w:val="clear" w:color="auto" w:fill="B8CCE4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Të dhëna bazike të lëndës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6480" w:type="dxa"/>
            <w:gridSpan w:val="3"/>
          </w:tcPr>
          <w:p w:rsidR="004B5D76" w:rsidRPr="004B5D76" w:rsidRDefault="00411D86" w:rsidP="004B5D76">
            <w:pPr>
              <w:pStyle w:val="NoSpacing"/>
              <w:rPr>
                <w:b/>
                <w:lang w:val="sq-AL"/>
              </w:rPr>
            </w:pPr>
            <w:r>
              <w:rPr>
                <w:rFonts w:eastAsia="Times New Roman"/>
                <w:b/>
                <w:lang w:val="sq-AL"/>
              </w:rPr>
              <w:t xml:space="preserve">Ekonomia e </w:t>
            </w:r>
            <w:r w:rsidR="004B5D76" w:rsidRPr="004B5D76">
              <w:rPr>
                <w:rFonts w:eastAsia="Times New Roman"/>
                <w:b/>
                <w:lang w:val="sq-AL"/>
              </w:rPr>
              <w:t>Bujqësisë</w:t>
            </w:r>
          </w:p>
        </w:tc>
      </w:tr>
      <w:tr w:rsidR="004B5D76" w:rsidRPr="004B5D76" w:rsidTr="00024494">
        <w:trPr>
          <w:trHeight w:val="139"/>
        </w:trPr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Titulli i lëndës: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rPr>
                <w:b/>
                <w:bCs/>
                <w:lang w:val="sq-AL"/>
              </w:rPr>
            </w:pPr>
            <w:r w:rsidRPr="004B5D76">
              <w:rPr>
                <w:b/>
                <w:lang w:val="sq-AL"/>
              </w:rPr>
              <w:t xml:space="preserve">Bazat e ekologjisë në bujqësi 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Niveli: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proofErr w:type="spellStart"/>
            <w:r w:rsidRPr="004B5D76">
              <w:rPr>
                <w:b/>
                <w:lang w:val="sq-AL"/>
              </w:rPr>
              <w:t>Bsc</w:t>
            </w:r>
            <w:proofErr w:type="spellEnd"/>
            <w:r w:rsidRPr="004B5D76">
              <w:rPr>
                <w:b/>
                <w:lang w:val="sq-AL"/>
              </w:rPr>
              <w:t>.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Statusi lëndës: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proofErr w:type="spellStart"/>
            <w:r w:rsidRPr="004B5D76">
              <w:rPr>
                <w:b/>
                <w:lang w:val="sq-AL"/>
              </w:rPr>
              <w:t>Obligative</w:t>
            </w:r>
            <w:proofErr w:type="spellEnd"/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Viti i studimeve: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II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Numri i orëve në javë: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2+2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Vlera në kredi – ECTS: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6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>Koha/</w:t>
            </w:r>
            <w:r w:rsidRPr="004B5D76">
              <w:rPr>
                <w:b/>
                <w:lang w:val="sq-AL"/>
              </w:rPr>
              <w:t>lokacioni: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>
              <w:rPr>
                <w:b/>
                <w:lang w:val="sq-AL"/>
              </w:rPr>
              <w:t xml:space="preserve">Semestri </w:t>
            </w:r>
            <w:r w:rsidRPr="004B5D76">
              <w:rPr>
                <w:b/>
                <w:lang w:val="sq-AL"/>
              </w:rPr>
              <w:t>III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Mësimdhënësi i lëndës: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Prof</w:t>
            </w:r>
            <w:r w:rsidRPr="004B5D76">
              <w:rPr>
                <w:b/>
                <w:lang w:val="sq-AL"/>
              </w:rPr>
              <w:t>.dr</w:t>
            </w:r>
            <w:proofErr w:type="spellEnd"/>
            <w:r w:rsidRPr="004B5D76">
              <w:rPr>
                <w:b/>
                <w:lang w:val="sq-AL"/>
              </w:rPr>
              <w:t xml:space="preserve">. Arben Mehmeti 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arben.mehmeti@uni-pr.edu</w:t>
            </w:r>
          </w:p>
        </w:tc>
      </w:tr>
      <w:tr w:rsidR="004B5D76" w:rsidRPr="004B5D76" w:rsidTr="00024494">
        <w:tc>
          <w:tcPr>
            <w:tcW w:w="9468" w:type="dxa"/>
            <w:gridSpan w:val="4"/>
            <w:shd w:val="clear" w:color="auto" w:fill="B8CCE4"/>
          </w:tcPr>
          <w:p w:rsidR="004B5D76" w:rsidRPr="004B5D76" w:rsidRDefault="004B5D76" w:rsidP="004B5D76">
            <w:pPr>
              <w:pStyle w:val="NoSpacing"/>
              <w:rPr>
                <w:lang w:val="sq-AL"/>
              </w:rPr>
            </w:pP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Përshkrimi i lëndës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jc w:val="both"/>
              <w:rPr>
                <w:lang w:val="sq-AL"/>
              </w:rPr>
            </w:pPr>
            <w:r w:rsidRPr="004B5D76">
              <w:rPr>
                <w:lang w:val="sq-AL"/>
              </w:rPr>
              <w:t>Lënda trajton çështjet themelore të ekologjisë, bashkëveprimet midis bimëve dhe organizmave të tjerë. Faktorët ekologjikë dhe mekanizmin e veprimit te tyre si dhe zhvillimin e qënd</w:t>
            </w:r>
            <w:r>
              <w:rPr>
                <w:lang w:val="sq-AL"/>
              </w:rPr>
              <w:t>rueshëm. A</w:t>
            </w:r>
            <w:r w:rsidRPr="004B5D76">
              <w:rPr>
                <w:lang w:val="sq-AL"/>
              </w:rPr>
              <w:t>spektet sociale që nënkupton një zhvillim të harmonizuar si në rrafshin ekonomik ashtu edhe në atë ekologjikë. Ndikimi i bujqësisë në ekosistemet natyrore dhe problemet të lidhura me aktivitetet bujqësore. Llojet e rrezikuara te bimëve si dhe ndotjen e ajrit, ujit, tokës dhe ushqimit. Ndikimet e ndryshme në  ndotjen e mjedisit dhe agroekosistemeve. Legjislacioni vendore dhe ndërkombëtar në fushën e monitorimit të mjedisit, me theks të veçantë në fushën e bujqësisë.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Qëllimet e lëndës: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jc w:val="both"/>
              <w:rPr>
                <w:lang w:val="sq-AL"/>
              </w:rPr>
            </w:pPr>
            <w:r w:rsidRPr="004B5D76">
              <w:rPr>
                <w:lang w:val="sq-AL"/>
              </w:rPr>
              <w:t xml:space="preserve">Qëllimi i </w:t>
            </w:r>
            <w:r>
              <w:rPr>
                <w:lang w:val="sq-AL"/>
              </w:rPr>
              <w:t>lëndës</w:t>
            </w:r>
            <w:r w:rsidRPr="004B5D76">
              <w:rPr>
                <w:lang w:val="sq-AL"/>
              </w:rPr>
              <w:t xml:space="preserve"> është që studentët të njoftohen  me bazat themelore të ekologjisë “moderne”. Ndikimin e bujqësisë në ekosistemet natyrore dhe problemet të lidhure me aktivitetet bujqësore dhe rëndësia e </w:t>
            </w:r>
            <w:proofErr w:type="spellStart"/>
            <w:r w:rsidRPr="004B5D76">
              <w:rPr>
                <w:lang w:val="sq-AL"/>
              </w:rPr>
              <w:t>biodiversiteti</w:t>
            </w:r>
            <w:proofErr w:type="spellEnd"/>
            <w:r w:rsidRPr="004B5D76">
              <w:rPr>
                <w:lang w:val="sq-AL"/>
              </w:rPr>
              <w:t>. Elementet kryesore të mjedisit dhe resurset natyrore. Konceptet e rëndësishme paraqitën në ndihmën e shembujve nga problemet ekzistuese. Problemet lidhur me ndikimin e bujqësisë në mjedis dhe shfrytëzimi i resurseve natyrore si dhe zgjidhje nga një perspektivë ekonomike. Legjislacioni kryesor vendor dhe ndërkombëtar për mjedisin dhe ndikimin e bujqësisë.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Pas përfundimit të këtij kursi (lënde) studenti do të jetë në gjendje që:</w:t>
            </w:r>
          </w:p>
          <w:p w:rsidR="004B5D76" w:rsidRPr="004B5D76" w:rsidRDefault="004B5D76" w:rsidP="004B5D76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B5D76">
              <w:rPr>
                <w:lang w:val="sq-AL"/>
              </w:rPr>
              <w:t xml:space="preserve">Të njohin dhe të gjykojnë marrëdhëniet reciproke në mes botës së gjallë dhe jo të gjallë. </w:t>
            </w:r>
          </w:p>
          <w:p w:rsidR="004B5D76" w:rsidRPr="004B5D76" w:rsidRDefault="004B5D76" w:rsidP="004B5D76">
            <w:pPr>
              <w:numPr>
                <w:ilvl w:val="0"/>
                <w:numId w:val="1"/>
              </w:numPr>
              <w:jc w:val="both"/>
              <w:rPr>
                <w:lang w:val="sq-AL"/>
              </w:rPr>
            </w:pPr>
            <w:r w:rsidRPr="004B5D76">
              <w:rPr>
                <w:lang w:val="sq-AL"/>
              </w:rPr>
              <w:t>Te kuptojë rolin e ekologjisë bujqësore dhe rëndësinë e saj për shkencat tjera agronomike.</w:t>
            </w:r>
          </w:p>
          <w:p w:rsidR="004B5D76" w:rsidRPr="004B5D76" w:rsidRDefault="004B5D76" w:rsidP="004B5D76">
            <w:pPr>
              <w:numPr>
                <w:ilvl w:val="0"/>
                <w:numId w:val="1"/>
              </w:numPr>
              <w:tabs>
                <w:tab w:val="num" w:pos="720"/>
              </w:tabs>
              <w:ind w:left="1077" w:hanging="357"/>
              <w:jc w:val="both"/>
              <w:rPr>
                <w:lang w:val="sq-AL"/>
              </w:rPr>
            </w:pPr>
            <w:r w:rsidRPr="004B5D76">
              <w:rPr>
                <w:lang w:val="sq-AL"/>
              </w:rPr>
              <w:t>Të dijë për rregulloret kombëtare dhe Evropiane të mbrojtjes se mjedisit dhe natyrës</w:t>
            </w:r>
            <w:r w:rsidRPr="004B5D76">
              <w:rPr>
                <w:color w:val="FF0000"/>
                <w:lang w:val="sq-AL"/>
              </w:rPr>
              <w:t xml:space="preserve"> </w:t>
            </w:r>
          </w:p>
        </w:tc>
      </w:tr>
      <w:tr w:rsidR="004B5D76" w:rsidRPr="004B5D76" w:rsidTr="00024494">
        <w:tc>
          <w:tcPr>
            <w:tcW w:w="9468" w:type="dxa"/>
            <w:gridSpan w:val="4"/>
            <w:shd w:val="clear" w:color="auto" w:fill="B8CCE4"/>
          </w:tcPr>
          <w:p w:rsidR="004B5D76" w:rsidRPr="004B5D76" w:rsidRDefault="004B5D76" w:rsidP="004B5D76">
            <w:pPr>
              <w:pStyle w:val="NoSpacing"/>
              <w:rPr>
                <w:lang w:val="sq-AL"/>
              </w:rPr>
            </w:pPr>
          </w:p>
        </w:tc>
      </w:tr>
      <w:tr w:rsidR="004B5D76" w:rsidRPr="004B5D76" w:rsidTr="00024494">
        <w:tc>
          <w:tcPr>
            <w:tcW w:w="9468" w:type="dxa"/>
            <w:gridSpan w:val="4"/>
            <w:shd w:val="clear" w:color="auto" w:fill="B8CCE4"/>
          </w:tcPr>
          <w:p w:rsidR="004B5D76" w:rsidRPr="004B5D76" w:rsidRDefault="004B5D76" w:rsidP="004B5D76">
            <w:pPr>
              <w:pStyle w:val="NoSpacing"/>
              <w:jc w:val="center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Kontributi </w:t>
            </w:r>
            <w:proofErr w:type="spellStart"/>
            <w:r w:rsidRPr="004B5D76">
              <w:rPr>
                <w:b/>
                <w:lang w:val="sq-AL"/>
              </w:rPr>
              <w:t>nё</w:t>
            </w:r>
            <w:proofErr w:type="spellEnd"/>
            <w:r w:rsidRPr="004B5D76">
              <w:rPr>
                <w:b/>
                <w:lang w:val="sq-AL"/>
              </w:rPr>
              <w:t xml:space="preserve"> </w:t>
            </w:r>
            <w:proofErr w:type="spellStart"/>
            <w:r w:rsidRPr="004B5D76">
              <w:rPr>
                <w:b/>
                <w:lang w:val="sq-AL"/>
              </w:rPr>
              <w:t>ngarkesёn</w:t>
            </w:r>
            <w:proofErr w:type="spellEnd"/>
            <w:r w:rsidRPr="004B5D76">
              <w:rPr>
                <w:b/>
                <w:lang w:val="sq-AL"/>
              </w:rPr>
              <w:t xml:space="preserve"> e studentit ( </w:t>
            </w:r>
            <w:proofErr w:type="spellStart"/>
            <w:r w:rsidRPr="004B5D76">
              <w:rPr>
                <w:b/>
                <w:lang w:val="sq-AL"/>
              </w:rPr>
              <w:t>gjё</w:t>
            </w:r>
            <w:proofErr w:type="spellEnd"/>
            <w:r w:rsidRPr="004B5D76">
              <w:rPr>
                <w:b/>
                <w:lang w:val="sq-AL"/>
              </w:rPr>
              <w:t xml:space="preserve"> </w:t>
            </w:r>
            <w:proofErr w:type="spellStart"/>
            <w:r w:rsidRPr="004B5D76">
              <w:rPr>
                <w:b/>
                <w:lang w:val="sq-AL"/>
              </w:rPr>
              <w:t>qё</w:t>
            </w:r>
            <w:proofErr w:type="spellEnd"/>
            <w:r w:rsidRPr="004B5D76">
              <w:rPr>
                <w:b/>
                <w:lang w:val="sq-AL"/>
              </w:rPr>
              <w:t xml:space="preserve"> duhet </w:t>
            </w:r>
            <w:proofErr w:type="spellStart"/>
            <w:r w:rsidRPr="004B5D76">
              <w:rPr>
                <w:b/>
                <w:lang w:val="sq-AL"/>
              </w:rPr>
              <w:t>tё</w:t>
            </w:r>
            <w:proofErr w:type="spellEnd"/>
            <w:r w:rsidRPr="004B5D76">
              <w:rPr>
                <w:b/>
                <w:lang w:val="sq-AL"/>
              </w:rPr>
              <w:t xml:space="preserve"> korrespondoj me rezultatet e </w:t>
            </w:r>
            <w:proofErr w:type="spellStart"/>
            <w:r w:rsidRPr="004B5D76">
              <w:rPr>
                <w:b/>
                <w:lang w:val="sq-AL"/>
              </w:rPr>
              <w:t>tё</w:t>
            </w:r>
            <w:proofErr w:type="spellEnd"/>
            <w:r w:rsidRPr="004B5D76">
              <w:rPr>
                <w:b/>
                <w:lang w:val="sq-AL"/>
              </w:rPr>
              <w:t xml:space="preserve"> </w:t>
            </w:r>
            <w:proofErr w:type="spellStart"/>
            <w:r w:rsidRPr="004B5D76">
              <w:rPr>
                <w:b/>
                <w:lang w:val="sq-AL"/>
              </w:rPr>
              <w:t>nxёnit</w:t>
            </w:r>
            <w:proofErr w:type="spellEnd"/>
            <w:r w:rsidRPr="004B5D76">
              <w:rPr>
                <w:b/>
                <w:lang w:val="sq-AL"/>
              </w:rPr>
              <w:t xml:space="preserve"> </w:t>
            </w:r>
            <w:proofErr w:type="spellStart"/>
            <w:r w:rsidRPr="004B5D76">
              <w:rPr>
                <w:b/>
                <w:lang w:val="sq-AL"/>
              </w:rPr>
              <w:t>tё</w:t>
            </w:r>
            <w:proofErr w:type="spellEnd"/>
            <w:r w:rsidRPr="004B5D76">
              <w:rPr>
                <w:b/>
                <w:lang w:val="sq-AL"/>
              </w:rPr>
              <w:t xml:space="preserve"> studentit)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Aktiviteti 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Orë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Gjithsej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Ligjërata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15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30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lastRenderedPageBreak/>
              <w:t>Ushtrime teorike/laboratorike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15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30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Punë praktike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8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32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Kontaktet me mësimdhënësin/konsultimet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4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4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Ushtrime  në teren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16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proofErr w:type="spellStart"/>
            <w:r w:rsidRPr="004B5D76">
              <w:rPr>
                <w:lang w:val="sq-AL"/>
              </w:rPr>
              <w:t>Kollokfiume</w:t>
            </w:r>
            <w:proofErr w:type="spellEnd"/>
            <w:r w:rsidRPr="004B5D76">
              <w:rPr>
                <w:lang w:val="sq-AL"/>
              </w:rPr>
              <w:t>,seminare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3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6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Detyra të  shtëpisë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4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8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 xml:space="preserve">Koha e studimit </w:t>
            </w:r>
            <w:proofErr w:type="spellStart"/>
            <w:r w:rsidRPr="004B5D76">
              <w:rPr>
                <w:lang w:val="sq-AL"/>
              </w:rPr>
              <w:t>vetanak</w:t>
            </w:r>
            <w:proofErr w:type="spellEnd"/>
            <w:r w:rsidRPr="004B5D76">
              <w:rPr>
                <w:lang w:val="sq-AL"/>
              </w:rPr>
              <w:t xml:space="preserve"> të studentit (në bibliotekë ose në shtëpi)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6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12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Përgatitja përfundimtare për provim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4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Koha e kaluar në vlerësim (teste,kuis,provim final)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2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4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Projektet,</w:t>
            </w:r>
            <w:r>
              <w:rPr>
                <w:lang w:val="sq-AL"/>
              </w:rPr>
              <w:t xml:space="preserve"> </w:t>
            </w:r>
            <w:r w:rsidRPr="004B5D76">
              <w:rPr>
                <w:lang w:val="sq-AL"/>
              </w:rPr>
              <w:t>prezantimet ,etj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 w:rsidRPr="004B5D76">
              <w:rPr>
                <w:lang w:val="sq-AL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4B5D76" w:rsidRPr="004B5D76" w:rsidRDefault="004B5D76" w:rsidP="004B5D76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</w:tr>
      <w:tr w:rsidR="004B5D76" w:rsidRPr="004B5D76" w:rsidTr="00024494">
        <w:tc>
          <w:tcPr>
            <w:tcW w:w="2988" w:type="dxa"/>
            <w:tcBorders>
              <w:righ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Totali </w:t>
            </w:r>
          </w:p>
        </w:tc>
        <w:tc>
          <w:tcPr>
            <w:tcW w:w="1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jc w:val="center"/>
              <w:rPr>
                <w:b/>
                <w:lang w:val="sq-AL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B8CCE4"/>
          </w:tcPr>
          <w:p w:rsidR="004B5D76" w:rsidRPr="004B5D76" w:rsidRDefault="004B5D76" w:rsidP="004B5D76">
            <w:pPr>
              <w:jc w:val="center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15</w:t>
            </w:r>
            <w:r>
              <w:rPr>
                <w:b/>
                <w:lang w:val="sq-AL"/>
              </w:rPr>
              <w:t>0</w:t>
            </w:r>
          </w:p>
        </w:tc>
      </w:tr>
      <w:tr w:rsidR="004B5D76" w:rsidRPr="004B5D76" w:rsidTr="00024494">
        <w:tc>
          <w:tcPr>
            <w:tcW w:w="9468" w:type="dxa"/>
            <w:gridSpan w:val="4"/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autoSpaceDE w:val="0"/>
              <w:autoSpaceDN w:val="0"/>
              <w:adjustRightInd w:val="0"/>
              <w:jc w:val="both"/>
              <w:rPr>
                <w:lang w:val="sq-AL"/>
              </w:rPr>
            </w:pPr>
            <w:r w:rsidRPr="004B5D76">
              <w:rPr>
                <w:lang w:val="sq-AL"/>
              </w:rPr>
              <w:t>Ligjërata dh</w:t>
            </w:r>
            <w:r>
              <w:rPr>
                <w:lang w:val="sq-AL"/>
              </w:rPr>
              <w:t xml:space="preserve">e ushtrime në kombinim me mësim </w:t>
            </w:r>
            <w:proofErr w:type="spellStart"/>
            <w:r>
              <w:rPr>
                <w:lang w:val="sq-AL"/>
              </w:rPr>
              <w:t>interaktiv</w:t>
            </w:r>
            <w:proofErr w:type="spellEnd"/>
            <w:r w:rsidRPr="004B5D76">
              <w:rPr>
                <w:lang w:val="sq-AL"/>
              </w:rPr>
              <w:t xml:space="preserve">. Verifikimi i dijes do të kryhet me test pas përfundimit të ciklit mësimor. Pas përfundimit të mësimit është i obligueshëm </w:t>
            </w:r>
            <w:proofErr w:type="spellStart"/>
            <w:r w:rsidRPr="004B5D76">
              <w:rPr>
                <w:lang w:val="sq-AL"/>
              </w:rPr>
              <w:t>kolokviumi</w:t>
            </w:r>
            <w:proofErr w:type="spellEnd"/>
            <w:r w:rsidRPr="004B5D76">
              <w:rPr>
                <w:lang w:val="sq-AL"/>
              </w:rPr>
              <w:t xml:space="preserve"> nga pjesa praktike dhe provimi përfundimtarë me goje.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rPr>
                <w:lang w:val="sq-AL"/>
              </w:rPr>
            </w:pP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Metodat e vlerësimit: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pStyle w:val="NoSpacing"/>
              <w:jc w:val="both"/>
              <w:rPr>
                <w:lang w:val="sq-AL"/>
              </w:rPr>
            </w:pPr>
            <w:r w:rsidRPr="004B5D76">
              <w:rPr>
                <w:lang w:val="sq-AL"/>
              </w:rPr>
              <w:t>Student</w:t>
            </w:r>
            <w:r>
              <w:rPr>
                <w:lang w:val="sq-AL"/>
              </w:rPr>
              <w:t>et duhet te jetë i aftë për punë</w:t>
            </w:r>
            <w:r w:rsidRPr="004B5D76">
              <w:rPr>
                <w:lang w:val="sq-AL"/>
              </w:rPr>
              <w:t xml:space="preserve"> ekipore, për zhvillimin e mendimit kritike dhe kreative si dhe për prezantimin e njohurive te fituara ne kuadër te lëndës.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Vlerësimi i studentëve kry</w:t>
            </w:r>
            <w:r w:rsidRPr="004B5D76">
              <w:rPr>
                <w:color w:val="000000"/>
                <w:lang w:val="sq-AL" w:eastAsia="de-DE"/>
              </w:rPr>
              <w:t xml:space="preserve">et duke caktuar përqindjen e pjesëmarrjes së secilit vlerësim gjatë ushtrimeve në vlerësimin </w:t>
            </w:r>
            <w:r>
              <w:rPr>
                <w:color w:val="000000"/>
                <w:lang w:val="sq-AL" w:eastAsia="de-DE"/>
              </w:rPr>
              <w:t>përfundimtar</w:t>
            </w:r>
            <w:r w:rsidRPr="004B5D76">
              <w:rPr>
                <w:color w:val="000000"/>
                <w:lang w:val="sq-AL" w:eastAsia="de-DE"/>
              </w:rPr>
              <w:t>.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Vlerësimi i parë: 30</w:t>
            </w:r>
            <w:r w:rsidRPr="004B5D76">
              <w:rPr>
                <w:color w:val="000000"/>
                <w:lang w:val="sq-AL" w:eastAsia="de-DE"/>
              </w:rPr>
              <w:t>%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4B5D76">
              <w:rPr>
                <w:color w:val="000000"/>
                <w:lang w:val="sq-AL" w:eastAsia="de-DE"/>
              </w:rPr>
              <w:t>Vlerësimi i dytë: 25%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4B5D76">
              <w:rPr>
                <w:color w:val="000000"/>
                <w:lang w:val="sq-AL" w:eastAsia="de-DE"/>
              </w:rPr>
              <w:t>Detyrat e shtëpisë ose angazhime tjera 10%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4B5D76">
              <w:rPr>
                <w:color w:val="000000"/>
                <w:lang w:val="sq-AL" w:eastAsia="de-DE"/>
              </w:rPr>
              <w:t>Vijimi i rregullt 5%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4B5D76">
              <w:rPr>
                <w:color w:val="000000"/>
                <w:lang w:val="sq-AL" w:eastAsia="de-DE"/>
              </w:rPr>
              <w:t>Provimi final 30%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4B5D76">
              <w:rPr>
                <w:lang w:val="sq-AL" w:eastAsia="de-DE"/>
              </w:rPr>
              <w:t>Totali 100%</w:t>
            </w:r>
          </w:p>
        </w:tc>
      </w:tr>
      <w:tr w:rsidR="004B5D76" w:rsidRPr="004B5D76" w:rsidTr="00024494">
        <w:tc>
          <w:tcPr>
            <w:tcW w:w="9468" w:type="dxa"/>
            <w:gridSpan w:val="4"/>
            <w:shd w:val="clear" w:color="auto" w:fill="B8CCE4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Literatura 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6480" w:type="dxa"/>
            <w:gridSpan w:val="3"/>
          </w:tcPr>
          <w:p w:rsidR="004B5D76" w:rsidRPr="004B5D76" w:rsidRDefault="004B5D76" w:rsidP="004B5D76">
            <w:pPr>
              <w:jc w:val="both"/>
              <w:rPr>
                <w:lang w:val="sq-AL"/>
              </w:rPr>
            </w:pPr>
            <w:proofErr w:type="spellStart"/>
            <w:r w:rsidRPr="004B5D76">
              <w:rPr>
                <w:lang w:val="sq-AL"/>
              </w:rPr>
              <w:t>Demaj</w:t>
            </w:r>
            <w:proofErr w:type="spellEnd"/>
            <w:r w:rsidRPr="004B5D76">
              <w:rPr>
                <w:lang w:val="sq-AL"/>
              </w:rPr>
              <w:t>. A. (2003)</w:t>
            </w:r>
            <w:r>
              <w:rPr>
                <w:lang w:val="sq-AL"/>
              </w:rPr>
              <w:t>: Bazat e ekologjisë bujqësore-</w:t>
            </w:r>
            <w:r w:rsidRPr="004B5D76">
              <w:rPr>
                <w:lang w:val="sq-AL"/>
              </w:rPr>
              <w:t>Ligjërata të autorizuara. Fakulteti</w:t>
            </w:r>
            <w:r>
              <w:rPr>
                <w:lang w:val="sq-AL"/>
              </w:rPr>
              <w:t xml:space="preserve"> i Bujqësisë Prishtinë, (</w:t>
            </w:r>
            <w:proofErr w:type="spellStart"/>
            <w:r>
              <w:rPr>
                <w:lang w:val="sq-AL"/>
              </w:rPr>
              <w:t>skriptë</w:t>
            </w:r>
            <w:proofErr w:type="spellEnd"/>
            <w:r w:rsidRPr="004B5D76">
              <w:rPr>
                <w:lang w:val="sq-AL"/>
              </w:rPr>
              <w:t>).</w:t>
            </w:r>
          </w:p>
          <w:p w:rsidR="004B5D76" w:rsidRPr="004B5D76" w:rsidRDefault="004B5D76" w:rsidP="004B5D76">
            <w:pPr>
              <w:jc w:val="both"/>
              <w:rPr>
                <w:lang w:val="sq-AL"/>
              </w:rPr>
            </w:pPr>
            <w:proofErr w:type="spellStart"/>
            <w:r>
              <w:rPr>
                <w:lang w:val="sq-AL"/>
              </w:rPr>
              <w:t>Veselin</w:t>
            </w:r>
            <w:proofErr w:type="spellEnd"/>
            <w:r>
              <w:rPr>
                <w:lang w:val="sq-AL"/>
              </w:rPr>
              <w:t>, P.</w:t>
            </w:r>
            <w:r w:rsidRPr="004B5D76">
              <w:rPr>
                <w:lang w:val="sq-AL"/>
              </w:rPr>
              <w:t xml:space="preserve"> dhe </w:t>
            </w:r>
            <w:proofErr w:type="spellStart"/>
            <w:r w:rsidRPr="004B5D76">
              <w:rPr>
                <w:lang w:val="sq-AL"/>
              </w:rPr>
              <w:t>Mankolli</w:t>
            </w:r>
            <w:proofErr w:type="spellEnd"/>
            <w:r w:rsidRPr="004B5D76">
              <w:rPr>
                <w:lang w:val="sq-AL"/>
              </w:rPr>
              <w:t>, H.</w:t>
            </w:r>
            <w:r>
              <w:rPr>
                <w:lang w:val="sq-AL"/>
              </w:rPr>
              <w:t xml:space="preserve"> </w:t>
            </w:r>
            <w:r w:rsidRPr="004B5D76">
              <w:rPr>
                <w:lang w:val="sq-AL"/>
              </w:rPr>
              <w:t>(2005): Ekologjia e Zbatuar, UBT-Dita 2000.</w:t>
            </w:r>
            <w:r>
              <w:rPr>
                <w:lang w:val="sq-AL"/>
              </w:rPr>
              <w:t xml:space="preserve"> </w:t>
            </w:r>
            <w:r w:rsidRPr="004B5D76">
              <w:rPr>
                <w:lang w:val="sq-AL"/>
              </w:rPr>
              <w:t>Tiranë 2005.</w:t>
            </w:r>
          </w:p>
          <w:p w:rsidR="004B5D76" w:rsidRPr="004B5D76" w:rsidRDefault="004B5D76" w:rsidP="004B5D76">
            <w:pPr>
              <w:jc w:val="both"/>
              <w:rPr>
                <w:lang w:val="sq-AL"/>
              </w:rPr>
            </w:pPr>
            <w:proofErr w:type="spellStart"/>
            <w:r w:rsidRPr="004B5D76">
              <w:rPr>
                <w:lang w:val="sq-AL"/>
              </w:rPr>
              <w:t>Peçuli</w:t>
            </w:r>
            <w:proofErr w:type="spellEnd"/>
            <w:r w:rsidRPr="004B5D76">
              <w:rPr>
                <w:lang w:val="sq-AL"/>
              </w:rPr>
              <w:t xml:space="preserve">, V., </w:t>
            </w:r>
            <w:proofErr w:type="spellStart"/>
            <w:r w:rsidRPr="004B5D76">
              <w:rPr>
                <w:lang w:val="sq-AL"/>
              </w:rPr>
              <w:t>Mankolli</w:t>
            </w:r>
            <w:proofErr w:type="spellEnd"/>
            <w:r w:rsidRPr="004B5D76">
              <w:rPr>
                <w:lang w:val="sq-AL"/>
              </w:rPr>
              <w:t xml:space="preserve"> H., </w:t>
            </w:r>
            <w:proofErr w:type="spellStart"/>
            <w:r w:rsidRPr="004B5D76">
              <w:rPr>
                <w:lang w:val="sq-AL"/>
              </w:rPr>
              <w:t>Kapoli</w:t>
            </w:r>
            <w:proofErr w:type="spellEnd"/>
            <w:r w:rsidRPr="004B5D76">
              <w:rPr>
                <w:lang w:val="sq-AL"/>
              </w:rPr>
              <w:t xml:space="preserve"> A.</w:t>
            </w:r>
            <w:r>
              <w:rPr>
                <w:lang w:val="sq-AL"/>
              </w:rPr>
              <w:t xml:space="preserve"> </w:t>
            </w:r>
            <w:r w:rsidRPr="004B5D76">
              <w:rPr>
                <w:lang w:val="sq-AL"/>
              </w:rPr>
              <w:t xml:space="preserve">(2005): Praktika në Ekologji. UBT. Botime </w:t>
            </w:r>
            <w:proofErr w:type="spellStart"/>
            <w:r w:rsidRPr="004B5D76">
              <w:rPr>
                <w:lang w:val="sq-AL"/>
              </w:rPr>
              <w:t>Toena</w:t>
            </w:r>
            <w:proofErr w:type="spellEnd"/>
            <w:r w:rsidRPr="004B5D76">
              <w:rPr>
                <w:lang w:val="sq-AL"/>
              </w:rPr>
              <w:t>. Tiranë.</w:t>
            </w:r>
          </w:p>
          <w:p w:rsidR="004B5D76" w:rsidRPr="004B5D76" w:rsidRDefault="004B5D76" w:rsidP="004B5D76">
            <w:pPr>
              <w:pStyle w:val="Pa01"/>
              <w:spacing w:line="240" w:lineRule="auto"/>
              <w:rPr>
                <w:rFonts w:ascii="Times New Roman" w:hAnsi="Times New Roman"/>
                <w:color w:val="000000"/>
                <w:lang w:val="sq-AL"/>
              </w:rPr>
            </w:pPr>
            <w:r>
              <w:rPr>
                <w:rFonts w:ascii="Times New Roman" w:eastAsia="SimSun" w:hAnsi="Times New Roman"/>
                <w:bCs/>
                <w:lang w:val="sq-AL" w:eastAsia="zh-CN"/>
              </w:rPr>
              <w:t>Mjedisi i Evropës (2022</w:t>
            </w:r>
            <w:r w:rsidRPr="004B5D76">
              <w:rPr>
                <w:rFonts w:ascii="Times New Roman" w:eastAsia="SimSun" w:hAnsi="Times New Roman"/>
                <w:bCs/>
                <w:lang w:val="sq-AL" w:eastAsia="zh-CN"/>
              </w:rPr>
              <w:t xml:space="preserve">): </w:t>
            </w:r>
            <w:r w:rsidRPr="004B5D76">
              <w:rPr>
                <w:rFonts w:ascii="Times New Roman" w:eastAsia="SimSun" w:hAnsi="Times New Roman"/>
                <w:lang w:val="sq-AL" w:eastAsia="zh-CN"/>
              </w:rPr>
              <w:t>Gjendja dhe perspektiva-</w:t>
            </w:r>
            <w:r w:rsidRPr="004B5D76">
              <w:rPr>
                <w:rFonts w:ascii="Times New Roman" w:hAnsi="Times New Roman"/>
                <w:bCs/>
                <w:lang w:val="sq-AL"/>
              </w:rPr>
              <w:t>sintezë.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pStyle w:val="NoSpacing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480" w:type="dxa"/>
            <w:gridSpan w:val="3"/>
          </w:tcPr>
          <w:p w:rsidR="004B5D76" w:rsidRPr="004B5D76" w:rsidRDefault="002F09A4" w:rsidP="004B5D76">
            <w:pPr>
              <w:jc w:val="both"/>
              <w:rPr>
                <w:lang w:val="sq-AL"/>
              </w:rPr>
            </w:pPr>
            <w:hyperlink r:id="rId5" w:history="1">
              <w:proofErr w:type="spellStart"/>
              <w:r w:rsidR="004B5D76" w:rsidRPr="004B5D76">
                <w:rPr>
                  <w:lang w:val="sq-AL"/>
                </w:rPr>
                <w:t>John</w:t>
              </w:r>
              <w:proofErr w:type="spellEnd"/>
              <w:r w:rsidR="004B5D76">
                <w:rPr>
                  <w:lang w:val="sq-AL"/>
                </w:rPr>
                <w:t>,</w:t>
              </w:r>
              <w:r w:rsidR="004B5D76" w:rsidRPr="004B5D76">
                <w:rPr>
                  <w:lang w:val="sq-AL"/>
                </w:rPr>
                <w:t xml:space="preserve"> E.</w:t>
              </w:r>
              <w:r w:rsidR="004B5D76">
                <w:rPr>
                  <w:lang w:val="sq-AL"/>
                </w:rPr>
                <w:t>,</w:t>
              </w:r>
              <w:r w:rsidR="004B5D76" w:rsidRPr="004B5D76">
                <w:rPr>
                  <w:lang w:val="sq-AL"/>
                </w:rPr>
                <w:t xml:space="preserve"> </w:t>
              </w:r>
              <w:proofErr w:type="spellStart"/>
              <w:r w:rsidR="004B5D76" w:rsidRPr="004B5D76">
                <w:rPr>
                  <w:lang w:val="sq-AL"/>
                </w:rPr>
                <w:t>Bonine</w:t>
              </w:r>
              <w:proofErr w:type="spellEnd"/>
            </w:hyperlink>
            <w:r w:rsidR="004B5D76" w:rsidRPr="004B5D76">
              <w:rPr>
                <w:lang w:val="sq-AL"/>
              </w:rPr>
              <w:t xml:space="preserve">, </w:t>
            </w:r>
            <w:hyperlink r:id="rId6" w:history="1">
              <w:proofErr w:type="spellStart"/>
              <w:r w:rsidR="004B5D76" w:rsidRPr="004B5D76">
                <w:rPr>
                  <w:lang w:val="sq-AL"/>
                </w:rPr>
                <w:t>Thomas</w:t>
              </w:r>
              <w:proofErr w:type="spellEnd"/>
              <w:r w:rsidR="004B5D76">
                <w:rPr>
                  <w:lang w:val="sq-AL"/>
                </w:rPr>
                <w:t>,</w:t>
              </w:r>
              <w:r w:rsidR="004B5D76" w:rsidRPr="004B5D76">
                <w:rPr>
                  <w:lang w:val="sq-AL"/>
                </w:rPr>
                <w:t xml:space="preserve"> O. </w:t>
              </w:r>
              <w:proofErr w:type="spellStart"/>
              <w:r w:rsidR="004B5D76" w:rsidRPr="004B5D76">
                <w:rPr>
                  <w:lang w:val="sq-AL"/>
                </w:rPr>
                <w:t>McGarity</w:t>
              </w:r>
              <w:proofErr w:type="spellEnd"/>
            </w:hyperlink>
            <w:r w:rsidR="004B5D76" w:rsidRPr="004B5D76">
              <w:rPr>
                <w:lang w:val="sq-AL"/>
              </w:rPr>
              <w:t xml:space="preserve"> (1991):</w:t>
            </w:r>
          </w:p>
          <w:p w:rsidR="004B5D76" w:rsidRPr="004B5D76" w:rsidRDefault="004B5D76" w:rsidP="004B5D76">
            <w:pPr>
              <w:jc w:val="both"/>
              <w:rPr>
                <w:lang w:val="sq-AL"/>
              </w:rPr>
            </w:pPr>
            <w:proofErr w:type="spellStart"/>
            <w:r w:rsidRPr="004B5D76">
              <w:rPr>
                <w:lang w:val="sq-AL"/>
              </w:rPr>
              <w:t>Environmental</w:t>
            </w:r>
            <w:proofErr w:type="spellEnd"/>
            <w:r w:rsidRPr="004B5D76">
              <w:rPr>
                <w:lang w:val="sq-AL"/>
              </w:rPr>
              <w:t xml:space="preserve"> </w:t>
            </w:r>
            <w:proofErr w:type="spellStart"/>
            <w:r w:rsidRPr="004B5D76">
              <w:rPr>
                <w:lang w:val="sq-AL"/>
              </w:rPr>
              <w:t>Protection</w:t>
            </w:r>
            <w:proofErr w:type="spellEnd"/>
            <w:r>
              <w:rPr>
                <w:lang w:val="sq-AL"/>
              </w:rPr>
              <w:t xml:space="preserve">: </w:t>
            </w:r>
            <w:proofErr w:type="spellStart"/>
            <w:r>
              <w:rPr>
                <w:lang w:val="sq-AL"/>
              </w:rPr>
              <w:t>Cases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Legislation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Policies</w:t>
            </w:r>
            <w:proofErr w:type="spellEnd"/>
            <w:r>
              <w:rPr>
                <w:lang w:val="sq-AL"/>
              </w:rPr>
              <w:t>/</w:t>
            </w:r>
            <w:proofErr w:type="spellStart"/>
            <w:r w:rsidRPr="004B5D76">
              <w:rPr>
                <w:lang w:val="sq-AL"/>
              </w:rPr>
              <w:t>Edition</w:t>
            </w:r>
            <w:proofErr w:type="spellEnd"/>
            <w:r w:rsidRPr="004B5D76">
              <w:rPr>
                <w:lang w:val="sq-AL"/>
              </w:rPr>
              <w:t xml:space="preserve"> 2. </w:t>
            </w:r>
            <w:proofErr w:type="spellStart"/>
            <w:r w:rsidRPr="004B5D76">
              <w:rPr>
                <w:lang w:val="sq-AL"/>
              </w:rPr>
              <w:lastRenderedPageBreak/>
              <w:t>Gliessman</w:t>
            </w:r>
            <w:proofErr w:type="spellEnd"/>
            <w:r w:rsidRPr="004B5D76">
              <w:rPr>
                <w:lang w:val="sq-AL"/>
              </w:rPr>
              <w:t xml:space="preserve">, S. R., </w:t>
            </w:r>
            <w:proofErr w:type="spellStart"/>
            <w:r w:rsidRPr="004B5D76">
              <w:rPr>
                <w:lang w:val="sq-AL"/>
              </w:rPr>
              <w:t>Krieger</w:t>
            </w:r>
            <w:proofErr w:type="spellEnd"/>
            <w:r w:rsidRPr="004B5D76">
              <w:rPr>
                <w:lang w:val="sq-AL"/>
              </w:rPr>
              <w:t xml:space="preserve">, R., E. </w:t>
            </w:r>
            <w:proofErr w:type="spellStart"/>
            <w:r w:rsidRPr="004B5D76">
              <w:rPr>
                <w:lang w:val="sq-AL"/>
              </w:rPr>
              <w:t>Engels</w:t>
            </w:r>
            <w:proofErr w:type="spellEnd"/>
            <w:r w:rsidRPr="004B5D76">
              <w:rPr>
                <w:lang w:val="sq-AL"/>
              </w:rPr>
              <w:t xml:space="preserve">. </w:t>
            </w:r>
            <w:r>
              <w:rPr>
                <w:lang w:val="sq-AL"/>
              </w:rPr>
              <w:t>(1997):</w:t>
            </w:r>
            <w:r w:rsidRPr="004B5D76">
              <w:rPr>
                <w:lang w:val="sq-AL"/>
              </w:rPr>
              <w:t xml:space="preserve"> </w:t>
            </w:r>
            <w:proofErr w:type="spellStart"/>
            <w:r w:rsidRPr="004B5D76">
              <w:rPr>
                <w:lang w:val="sq-AL"/>
              </w:rPr>
              <w:t>Agroecology</w:t>
            </w:r>
            <w:proofErr w:type="spellEnd"/>
            <w:r w:rsidRPr="004B5D76">
              <w:rPr>
                <w:lang w:val="sq-AL"/>
              </w:rPr>
              <w:t xml:space="preserve">: </w:t>
            </w:r>
            <w:proofErr w:type="spellStart"/>
            <w:r w:rsidRPr="004B5D76">
              <w:rPr>
                <w:lang w:val="sq-AL"/>
              </w:rPr>
              <w:t>Ecological</w:t>
            </w:r>
            <w:proofErr w:type="spellEnd"/>
            <w:r w:rsidRPr="004B5D76">
              <w:rPr>
                <w:lang w:val="sq-AL"/>
              </w:rPr>
              <w:t xml:space="preserve"> </w:t>
            </w:r>
            <w:proofErr w:type="spellStart"/>
            <w:r w:rsidRPr="004B5D76">
              <w:rPr>
                <w:lang w:val="sq-AL"/>
              </w:rPr>
              <w:t>processes</w:t>
            </w:r>
            <w:proofErr w:type="spellEnd"/>
            <w:r w:rsidRPr="004B5D76">
              <w:rPr>
                <w:lang w:val="sq-AL"/>
              </w:rPr>
              <w:t xml:space="preserve"> in </w:t>
            </w:r>
            <w:proofErr w:type="spellStart"/>
            <w:r w:rsidRPr="004B5D76">
              <w:rPr>
                <w:lang w:val="sq-AL"/>
              </w:rPr>
              <w:t>sustainable</w:t>
            </w:r>
            <w:proofErr w:type="spellEnd"/>
            <w:r w:rsidRPr="004B5D76">
              <w:rPr>
                <w:lang w:val="sq-AL"/>
              </w:rPr>
              <w:t xml:space="preserve"> </w:t>
            </w:r>
            <w:proofErr w:type="spellStart"/>
            <w:r w:rsidRPr="004B5D76">
              <w:rPr>
                <w:lang w:val="sq-AL"/>
              </w:rPr>
              <w:t>agriculture</w:t>
            </w:r>
            <w:proofErr w:type="spellEnd"/>
            <w:r w:rsidRPr="004B5D76">
              <w:rPr>
                <w:lang w:val="sq-AL"/>
              </w:rPr>
              <w:t xml:space="preserve">. </w:t>
            </w:r>
            <w:proofErr w:type="spellStart"/>
            <w:r w:rsidRPr="004B5D76">
              <w:rPr>
                <w:lang w:val="sq-AL"/>
              </w:rPr>
              <w:t>Amazon</w:t>
            </w:r>
            <w:proofErr w:type="spellEnd"/>
            <w:r w:rsidRPr="004B5D76">
              <w:rPr>
                <w:lang w:val="sq-AL"/>
              </w:rPr>
              <w:t xml:space="preserve">,CRC </w:t>
            </w:r>
            <w:proofErr w:type="spellStart"/>
            <w:r w:rsidRPr="004B5D76">
              <w:rPr>
                <w:lang w:val="sq-AL"/>
              </w:rPr>
              <w:t>Press</w:t>
            </w:r>
            <w:proofErr w:type="spellEnd"/>
            <w:r w:rsidRPr="004B5D76">
              <w:rPr>
                <w:lang w:val="sq-AL"/>
              </w:rPr>
              <w:t xml:space="preserve">, </w:t>
            </w:r>
            <w:proofErr w:type="spellStart"/>
            <w:r w:rsidRPr="004B5D76">
              <w:rPr>
                <w:lang w:val="sq-AL"/>
              </w:rPr>
              <w:t>London</w:t>
            </w:r>
            <w:proofErr w:type="spellEnd"/>
            <w:r w:rsidRPr="004B5D76">
              <w:rPr>
                <w:lang w:val="sq-AL"/>
              </w:rPr>
              <w:t>, 384 p., ISBN: 0-387-98311-2.</w:t>
            </w:r>
          </w:p>
        </w:tc>
      </w:tr>
    </w:tbl>
    <w:p w:rsidR="004B5D76" w:rsidRPr="004B5D76" w:rsidRDefault="004B5D76" w:rsidP="004B5D76">
      <w:pPr>
        <w:pStyle w:val="BodyText"/>
        <w:tabs>
          <w:tab w:val="left" w:pos="6992"/>
        </w:tabs>
        <w:spacing w:after="0"/>
      </w:pPr>
    </w:p>
    <w:tbl>
      <w:tblPr>
        <w:tblpPr w:leftFromText="180" w:rightFromText="180" w:vertAnchor="text" w:horzAnchor="margin" w:tblpY="4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88"/>
        <w:gridCol w:w="6480"/>
      </w:tblGrid>
      <w:tr w:rsidR="004B5D76" w:rsidRPr="004B5D76" w:rsidTr="00024494">
        <w:tc>
          <w:tcPr>
            <w:tcW w:w="9468" w:type="dxa"/>
            <w:gridSpan w:val="2"/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Plani i dizajnuar i mësimit:  </w:t>
            </w:r>
          </w:p>
        </w:tc>
      </w:tr>
      <w:tr w:rsidR="004B5D76" w:rsidRPr="004B5D76" w:rsidTr="00024494">
        <w:tc>
          <w:tcPr>
            <w:tcW w:w="2988" w:type="dxa"/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</w:t>
            </w:r>
          </w:p>
        </w:tc>
        <w:tc>
          <w:tcPr>
            <w:tcW w:w="6480" w:type="dxa"/>
            <w:shd w:val="clear" w:color="auto" w:fill="B8CCE4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Ligjërata që do të zhvillohet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 e parë: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Hyrje, parimet bazë të ekologjisë</w:t>
            </w:r>
          </w:p>
        </w:tc>
      </w:tr>
      <w:tr w:rsidR="004B5D76" w:rsidRPr="004B5D76" w:rsidTr="00024494">
        <w:trPr>
          <w:trHeight w:val="268"/>
        </w:trPr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 e dytë: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pStyle w:val="Heading1"/>
              <w:spacing w:before="0" w:after="0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bookmarkStart w:id="0" w:name="_Toc88965566"/>
            <w:bookmarkStart w:id="1" w:name="_Toc93474666"/>
            <w:r w:rsidRPr="004B5D76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Struktura dhe ndërtimi i sistemeve ekologjike</w:t>
            </w:r>
            <w:bookmarkEnd w:id="0"/>
            <w:bookmarkEnd w:id="1"/>
          </w:p>
        </w:tc>
      </w:tr>
      <w:tr w:rsidR="004B5D76" w:rsidRPr="004B5D76" w:rsidTr="00024494">
        <w:trPr>
          <w:trHeight w:val="146"/>
        </w:trPr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 e tretë: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Ekosfera,  bazat e vetive funksionale të ekosferës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 e katërt: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Ekosistemi, koncepti i ekosistemit dhe elementet e tij përbërëse</w:t>
            </w:r>
          </w:p>
        </w:tc>
      </w:tr>
      <w:tr w:rsidR="004B5D76" w:rsidRPr="004B5D76" w:rsidTr="00024494">
        <w:trPr>
          <w:trHeight w:val="228"/>
        </w:trPr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pestë:  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Prodhimtaria në ekosisteme</w:t>
            </w:r>
          </w:p>
        </w:tc>
      </w:tr>
      <w:tr w:rsidR="004B5D76" w:rsidRPr="004B5D76" w:rsidTr="00024494">
        <w:trPr>
          <w:trHeight w:val="232"/>
        </w:trPr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 e gjashtë: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 xml:space="preserve">Faktorët ekologjikë    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shtatë:  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 xml:space="preserve">Faktorët ekologjike dhe mekanizmi veprimit të tyre    </w:t>
            </w:r>
          </w:p>
        </w:tc>
      </w:tr>
      <w:tr w:rsidR="004B5D76" w:rsidRPr="004B5D76" w:rsidTr="00024494">
        <w:trPr>
          <w:trHeight w:val="261"/>
        </w:trPr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tetë:  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Vlerësimi i pare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nëntë:  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rStyle w:val="longtext1"/>
                <w:color w:val="000000"/>
                <w:lang w:val="sq-AL"/>
              </w:rPr>
              <w:t>Ruajtja e shumëllojshmërisë biologjike dhe ekosistemeve</w:t>
            </w:r>
          </w:p>
        </w:tc>
      </w:tr>
      <w:tr w:rsidR="004B5D76" w:rsidRPr="004B5D76" w:rsidTr="00024494">
        <w:trPr>
          <w:trHeight w:val="462"/>
        </w:trPr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 e dhjetë: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pStyle w:val="Heading1"/>
              <w:spacing w:before="0" w:after="0"/>
              <w:rPr>
                <w:rStyle w:val="longtext1"/>
                <w:rFonts w:ascii="Times New Roman" w:hAnsi="Times New Roman"/>
                <w:b w:val="0"/>
                <w:bCs w:val="0"/>
                <w:color w:val="000000"/>
                <w:kern w:val="0"/>
                <w:szCs w:val="24"/>
              </w:rPr>
            </w:pPr>
            <w:bookmarkStart w:id="2" w:name="_Toc93474703"/>
            <w:r w:rsidRPr="004B5D76">
              <w:rPr>
                <w:rStyle w:val="longtext1"/>
                <w:rFonts w:ascii="Times New Roman" w:hAnsi="Times New Roman"/>
                <w:b w:val="0"/>
                <w:bCs w:val="0"/>
                <w:color w:val="000000"/>
                <w:kern w:val="0"/>
                <w:szCs w:val="24"/>
              </w:rPr>
              <w:t>Karakteri i përgjithshëm i shkëmbimeve kimike ndërmjet bimëve dhe mjedisit</w:t>
            </w:r>
            <w:bookmarkEnd w:id="2"/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Java e njëmbëdhjetë: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lang w:val="sq-AL"/>
              </w:rPr>
              <w:t>Roli ekologjik i njeriut në biosferë dhe efektet e teknologjisë në mjedis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dymbëdhjetë:  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lang w:val="sq-AL"/>
              </w:rPr>
            </w:pPr>
            <w:r w:rsidRPr="004B5D76">
              <w:rPr>
                <w:bCs/>
                <w:lang w:val="sq-AL"/>
              </w:rPr>
              <w:t>Ekuilibri ekologjik dhe vlerësimi i ndikimit në mjedis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trembëdhjetë:    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bCs/>
                <w:lang w:val="sq-AL"/>
              </w:rPr>
            </w:pPr>
            <w:r w:rsidRPr="004B5D76">
              <w:rPr>
                <w:rStyle w:val="longtext1"/>
                <w:lang w:val="sq-AL"/>
              </w:rPr>
              <w:t>Ndotje e  tokës, ujit dhe ajrit</w:t>
            </w:r>
          </w:p>
        </w:tc>
      </w:tr>
      <w:tr w:rsidR="004B5D76" w:rsidRPr="004B5D76" w:rsidTr="00024494">
        <w:trPr>
          <w:trHeight w:val="343"/>
        </w:trPr>
        <w:tc>
          <w:tcPr>
            <w:tcW w:w="2988" w:type="dxa"/>
            <w:tcBorders>
              <w:bottom w:val="single" w:sz="4" w:space="0" w:color="auto"/>
            </w:tcBorders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katërmbëdhjetë:  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4B5D76" w:rsidRPr="004B5D76" w:rsidRDefault="004B5D76" w:rsidP="004B5D76">
            <w:pPr>
              <w:rPr>
                <w:bCs/>
                <w:lang w:val="sq-AL"/>
              </w:rPr>
            </w:pPr>
            <w:r w:rsidRPr="004B5D76">
              <w:rPr>
                <w:rStyle w:val="longtext1"/>
                <w:lang w:val="sq-AL"/>
              </w:rPr>
              <w:t>Legjislacioni vendor dhe ndërkombëtar për mjedis-ndikimi i bujqësisë</w:t>
            </w:r>
          </w:p>
        </w:tc>
      </w:tr>
      <w:tr w:rsidR="004B5D76" w:rsidRPr="004B5D76" w:rsidTr="00024494">
        <w:tc>
          <w:tcPr>
            <w:tcW w:w="2988" w:type="dxa"/>
          </w:tcPr>
          <w:p w:rsidR="004B5D76" w:rsidRPr="004B5D76" w:rsidRDefault="004B5D76" w:rsidP="004B5D76">
            <w:pPr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 xml:space="preserve">Java e pesëmbëdhjetë:   </w:t>
            </w:r>
          </w:p>
        </w:tc>
        <w:tc>
          <w:tcPr>
            <w:tcW w:w="6480" w:type="dxa"/>
          </w:tcPr>
          <w:p w:rsidR="004B5D76" w:rsidRPr="004B5D76" w:rsidRDefault="004B5D76" w:rsidP="004B5D76">
            <w:pPr>
              <w:rPr>
                <w:bCs/>
                <w:lang w:val="sq-AL"/>
              </w:rPr>
            </w:pPr>
            <w:r w:rsidRPr="004B5D76">
              <w:rPr>
                <w:lang w:val="sq-AL"/>
              </w:rPr>
              <w:t>Vlerësimi i dytë</w:t>
            </w:r>
            <w:r w:rsidRPr="004B5D76" w:rsidDel="00AF1A1F">
              <w:rPr>
                <w:bCs/>
                <w:lang w:val="sq-AL"/>
              </w:rPr>
              <w:t xml:space="preserve"> </w:t>
            </w:r>
          </w:p>
        </w:tc>
      </w:tr>
    </w:tbl>
    <w:p w:rsidR="004B5D76" w:rsidRPr="004B5D76" w:rsidRDefault="004B5D76" w:rsidP="004B5D76">
      <w:pPr>
        <w:pStyle w:val="BodyText"/>
        <w:spacing w:after="0"/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8"/>
      </w:tblGrid>
      <w:tr w:rsidR="004B5D76" w:rsidRPr="004B5D76" w:rsidTr="00024494">
        <w:tc>
          <w:tcPr>
            <w:tcW w:w="9468" w:type="dxa"/>
            <w:shd w:val="clear" w:color="auto" w:fill="B8CCE4"/>
          </w:tcPr>
          <w:p w:rsidR="004B5D76" w:rsidRPr="004B5D76" w:rsidRDefault="004B5D76" w:rsidP="004B5D76">
            <w:pPr>
              <w:jc w:val="center"/>
              <w:rPr>
                <w:b/>
                <w:lang w:val="sq-AL"/>
              </w:rPr>
            </w:pPr>
            <w:r w:rsidRPr="004B5D76">
              <w:rPr>
                <w:b/>
                <w:lang w:val="sq-AL"/>
              </w:rPr>
              <w:t>Politikat akademike dhe rregullat e mirësjelljes:</w:t>
            </w:r>
          </w:p>
        </w:tc>
      </w:tr>
      <w:tr w:rsidR="004B5D76" w:rsidRPr="004B5D76" w:rsidTr="00024494">
        <w:trPr>
          <w:trHeight w:val="1088"/>
        </w:trPr>
        <w:tc>
          <w:tcPr>
            <w:tcW w:w="9468" w:type="dxa"/>
          </w:tcPr>
          <w:p w:rsidR="004B5D76" w:rsidRPr="004B5D76" w:rsidRDefault="004B5D76" w:rsidP="004B5D76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4B5D76">
              <w:rPr>
                <w:color w:val="000000"/>
                <w:lang w:val="sq-AL" w:eastAsia="de-DE"/>
              </w:rPr>
              <w:t>- vijim i rregullt në ligjërata dhe ushtrime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4B5D76">
              <w:rPr>
                <w:color w:val="000000"/>
                <w:lang w:val="sq-AL" w:eastAsia="de-DE"/>
              </w:rPr>
              <w:t>- rregullat e mirësjelljes si: mbajtja e qetësisë në mësim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4B5D76">
              <w:rPr>
                <w:color w:val="000000"/>
                <w:lang w:val="sq-AL" w:eastAsia="de-DE"/>
              </w:rPr>
              <w:t>- hyrja në sallë me kohë,</w:t>
            </w:r>
          </w:p>
          <w:p w:rsidR="004B5D76" w:rsidRPr="004B5D76" w:rsidRDefault="004B5D76" w:rsidP="004B5D76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- shkyçja e telefonave cel</w:t>
            </w:r>
            <w:r w:rsidRPr="004B5D76">
              <w:rPr>
                <w:color w:val="000000"/>
                <w:lang w:val="sq-AL" w:eastAsia="de-DE"/>
              </w:rPr>
              <w:t>ular</w:t>
            </w:r>
          </w:p>
        </w:tc>
      </w:tr>
    </w:tbl>
    <w:p w:rsidR="001F64C7" w:rsidRPr="004B5D76" w:rsidRDefault="001F64C7" w:rsidP="004B5D76">
      <w:pPr>
        <w:rPr>
          <w:lang w:val="sq-AL"/>
        </w:rPr>
      </w:pPr>
    </w:p>
    <w:sectPr w:rsidR="001F64C7" w:rsidRPr="004B5D76" w:rsidSect="001F6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B1601"/>
    <w:multiLevelType w:val="hybridMultilevel"/>
    <w:tmpl w:val="D34453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4B5D76"/>
    <w:rsid w:val="001F64C7"/>
    <w:rsid w:val="002F09A4"/>
    <w:rsid w:val="00411D86"/>
    <w:rsid w:val="004B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D7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D76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sq-A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D76"/>
    <w:rPr>
      <w:rFonts w:ascii="Cambria" w:eastAsia="MS Mincho" w:hAnsi="Cambria" w:cs="Times New Roman"/>
      <w:b/>
      <w:bCs/>
      <w:kern w:val="32"/>
      <w:sz w:val="32"/>
      <w:szCs w:val="32"/>
      <w:lang w:val="sq-AL" w:eastAsia="zh-CN"/>
    </w:rPr>
  </w:style>
  <w:style w:type="paragraph" w:styleId="NoSpacing">
    <w:name w:val="No Spacing"/>
    <w:link w:val="NoSpacingChar"/>
    <w:uiPriority w:val="1"/>
    <w:qFormat/>
    <w:rsid w:val="004B5D7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4B5D76"/>
    <w:rPr>
      <w:rFonts w:cs="Times New Roman"/>
      <w:color w:val="0000FF"/>
      <w:u w:val="single"/>
    </w:rPr>
  </w:style>
  <w:style w:type="paragraph" w:customStyle="1" w:styleId="Pa01">
    <w:name w:val="Pa0+1"/>
    <w:basedOn w:val="Normal"/>
    <w:next w:val="Normal"/>
    <w:uiPriority w:val="99"/>
    <w:rsid w:val="004B5D76"/>
    <w:pPr>
      <w:autoSpaceDE w:val="0"/>
      <w:autoSpaceDN w:val="0"/>
      <w:adjustRightInd w:val="0"/>
      <w:spacing w:line="241" w:lineRule="atLeast"/>
    </w:pPr>
    <w:rPr>
      <w:rFonts w:ascii="Verdana" w:hAnsi="Verdana"/>
    </w:rPr>
  </w:style>
  <w:style w:type="paragraph" w:styleId="BodyText">
    <w:name w:val="Body Text"/>
    <w:basedOn w:val="Normal"/>
    <w:link w:val="BodyTextChar"/>
    <w:uiPriority w:val="99"/>
    <w:unhideWhenUsed/>
    <w:rsid w:val="004B5D76"/>
    <w:pPr>
      <w:spacing w:after="120"/>
      <w:jc w:val="both"/>
    </w:pPr>
    <w:rPr>
      <w:rFonts w:eastAsia="SimSun"/>
      <w:lang w:val="sq-AL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B5D76"/>
    <w:rPr>
      <w:rFonts w:ascii="Times New Roman" w:eastAsia="SimSun" w:hAnsi="Times New Roman" w:cs="Times New Roman"/>
      <w:sz w:val="24"/>
      <w:szCs w:val="24"/>
      <w:lang w:val="sq-AL" w:eastAsia="zh-CN"/>
    </w:rPr>
  </w:style>
  <w:style w:type="character" w:customStyle="1" w:styleId="longtext1">
    <w:name w:val="long_text1"/>
    <w:rsid w:val="004B5D76"/>
    <w:rPr>
      <w:sz w:val="24"/>
    </w:rPr>
  </w:style>
  <w:style w:type="character" w:customStyle="1" w:styleId="NoSpacingChar">
    <w:name w:val="No Spacing Char"/>
    <w:link w:val="NoSpacing"/>
    <w:uiPriority w:val="1"/>
    <w:rsid w:val="004B5D7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rnesandnoble.com/c/thomas-o.-mcgarity" TargetMode="External"/><Relationship Id="rId5" Type="http://schemas.openxmlformats.org/officeDocument/2006/relationships/hyperlink" Target="http://www.barnesandnoble.com/c/john-e.-bon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2024-11-14T10:48:00Z</dcterms:created>
  <dcterms:modified xsi:type="dcterms:W3CDTF">2024-11-17T17:22:00Z</dcterms:modified>
</cp:coreProperties>
</file>