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F9" w:rsidRPr="005F7AB8" w:rsidRDefault="000C4FF9" w:rsidP="000C4FF9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>TEKNOLOGJIA E YNDYRERAVE DHE VAJRAVE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7"/>
        <w:gridCol w:w="1750"/>
        <w:gridCol w:w="1762"/>
        <w:gridCol w:w="1989"/>
      </w:tblGrid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6031" w:type="dxa"/>
            <w:gridSpan w:val="3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rinarisë 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6031" w:type="dxa"/>
            <w:gridSpan w:val="3"/>
          </w:tcPr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Teknologjia e Yndyrërave dhe vajrave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Master 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Obligative</w:t>
            </w:r>
          </w:p>
        </w:tc>
      </w:tr>
      <w:tr w:rsidR="000C4FF9" w:rsidRPr="00114E0E" w:rsidTr="00B538EE">
        <w:trPr>
          <w:trHeight w:val="233"/>
        </w:trPr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Viti i parë – Semestri i parë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 + 1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Prishtinë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Mësimëdhënësi i lëndës:</w:t>
            </w:r>
          </w:p>
        </w:tc>
        <w:tc>
          <w:tcPr>
            <w:tcW w:w="6031" w:type="dxa"/>
            <w:gridSpan w:val="3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Prof. As</w:t>
            </w: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s. </w:t>
            </w:r>
            <w:r w:rsidRPr="00114E0E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Dr.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Arbenita Hasani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Universiteti i Prishtinës – Fakulteti i Bujqësisë dhe  Veterinarisë. 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6031" w:type="dxa"/>
            <w:gridSpan w:val="3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Universiteti i Prishtines, </w:t>
            </w:r>
            <w:r w:rsidRPr="00205921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Dep. I Teknologjise Ushqimore</w:t>
            </w:r>
          </w:p>
          <w:p w:rsidR="000C4FF9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4" w:history="1">
              <w:r w:rsidRPr="00304F4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arbenita.hasani@uni-pr.edu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+377 (0)44 704 416 </w:t>
            </w:r>
          </w:p>
        </w:tc>
      </w:tr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Përshkrimi i lëndës</w:t>
            </w:r>
          </w:p>
        </w:tc>
        <w:tc>
          <w:tcPr>
            <w:tcW w:w="6031" w:type="dxa"/>
            <w:gridSpan w:val="3"/>
          </w:tcPr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truktura e yndyr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ër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ave dhe vajrave. Burimet dhe klasifikimi i yndyr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ër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ave dhe vajrave. Karakteristikat kimike dhe fizike. Përdorimi dhe rëndësia në industri dhe të ushqyerit. Përpunimi i yndyr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ër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ave dhe vajrave. Operacionet e para-nxjerrjes, nxjerrja / përpunimi, filtrimi dhe rafinimi. Hidrogjenizimi në prodhimin e yndyr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ër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ave dhe margarinë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. Cilësia dhe vlerat ushqyese të produkteve të përpunuara. Kimi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tiganisjes dhe përdorimi i antioksidantëve. Karakteristikat e magazinimit të yndyrave dhe vajrave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Qëllimet e lëndës:</w:t>
            </w:r>
          </w:p>
        </w:tc>
        <w:tc>
          <w:tcPr>
            <w:tcW w:w="6031" w:type="dxa"/>
            <w:gridSpan w:val="3"/>
          </w:tcPr>
          <w:p w:rsidR="000C4FF9" w:rsidRPr="003B24EF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studiuarit në thellësi mbi vetitë kimike, fizike dhe ushqyese të yndyrave dhe vajrave dhe teknologjitë e përfshira në prodhimin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tyre.</w:t>
            </w:r>
          </w:p>
          <w:p w:rsidR="000C4FF9" w:rsidRPr="003B24EF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pritura të nxënies:</w:t>
            </w:r>
          </w:p>
        </w:tc>
        <w:tc>
          <w:tcPr>
            <w:tcW w:w="6031" w:type="dxa"/>
            <w:gridSpan w:val="3"/>
          </w:tcPr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Pas përfundimit të këtij kursi, studentët do të përfitojnë njohuri teorike për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-  për izolimin dhe pastrimin e yndyrave dhe vajrave.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njohuri dhe shkathtësi në zhvillimin e produkteve të yndyrës dhe vajit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Të japë aftësi në sigurimin e cilësisë, vlerësimin dhe matjen e ndryshimeve fizike dhe kimike që ndodhin në produktet yndyrore dhe vajore 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Objektivat specifike: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 a) Izolimi dhe pastrimi i lipideve nga burimet e kafshëve </w:t>
            </w: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b) Izolimi dhe pastrimi i lipideve nga burimet bimore </w:t>
            </w:r>
          </w:p>
          <w:p w:rsidR="000C4FF9" w:rsidRDefault="000C4FF9" w:rsidP="00B538E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c) Matja e vlerës së acidit, vlerës së jodit dhe vlerës së peroksidit si tregues të cilësisë së produkteve lipide</w:t>
            </w:r>
            <w:r w:rsidRPr="0086456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:rsidR="000C4FF9" w:rsidRDefault="000C4FF9" w:rsidP="00B538EE">
            <w:pPr>
              <w:spacing w:after="0"/>
            </w:pPr>
          </w:p>
          <w:p w:rsidR="000C4FF9" w:rsidRPr="0086456E" w:rsidRDefault="000C4FF9" w:rsidP="00B538E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Gjithashtu Studentet pritet t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ken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një pik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pamje të integruar të karakteristikave kimike, fizike dhe ushqyese të yndyr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ave dhe vajrave. Si dhe njohuri të detajuara të faktorëve të qenësishëm në përpunimin, ruajtjen dhe gatimin e yndyr</w:t>
            </w:r>
            <w:r w:rsidRPr="0086456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ave dhe vajrave që ndikojnë në stabilitetin, cilësinë ushqyese dhe sigurinë e ushqimeve.</w:t>
            </w:r>
          </w:p>
        </w:tc>
      </w:tr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Kontributi nё ngarkesën e studentit (gjë qё duhet tё korrespondoj me rezultatet e tё nxёnit tё studentit)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  në teren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Kollokfiume,seminare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Detyra të  shtëpisë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studimit vetanak të studentit (në bibliotekë ose në shtëpi)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Përgaditja përfundimtare për provim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kaluar në vlerësim (teste,kuiz,provim final)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Projektet, prezentimet,etj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0C4FF9" w:rsidRPr="00114E0E" w:rsidTr="00B538EE">
        <w:tc>
          <w:tcPr>
            <w:tcW w:w="3509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73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126 </w:t>
            </w:r>
          </w:p>
        </w:tc>
      </w:tr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 lënda i ka 5 ECTS kredi, studenti duhet të ketë angazhim gjatë semestrit 125 orë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Metodologjia e mësimdhënies:  </w:t>
            </w:r>
          </w:p>
        </w:tc>
        <w:tc>
          <w:tcPr>
            <w:tcW w:w="6031" w:type="dxa"/>
            <w:gridSpan w:val="3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Ligje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rata teorike, ushtrime laboratorike, punë praktike në laborator, seminare, diskutim, punë në grupe.</w:t>
            </w:r>
          </w:p>
          <w:p w:rsidR="000C4FF9" w:rsidRPr="005F7AB8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Përdorimi i mjeteve bashkëkohore audiovizuele për ligjërata dhe konkretizim të mësimit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6031" w:type="dxa"/>
            <w:gridSpan w:val="3"/>
          </w:tcPr>
          <w:p w:rsidR="000C4FF9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Studenti duhet të përfundoj punën eksperimentale në laborator, të shkruaj dhe/ose të prezantoj një seminar,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marrë një notë pozitive në kollokvium dhe të kalojë provimin me shkrim.</w:t>
            </w:r>
          </w:p>
          <w:p w:rsidR="000C4FF9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Vlerësimi përfundimtar bazohet në performancën e përgjithshme të studentit të arritur përgjatë semestrit, sipas kriterit të mëposhtëm: 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Vlerësimi i parë: 20%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Vlerësimi i dytë: 20%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Detyrat e shtëpisë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punime seminarike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ose angazhime  tjera 10%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Pjesëmarrje e rregullt dhe aktive ne ligjerata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10%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Provimi final    40%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Total 100%</w:t>
            </w:r>
          </w:p>
        </w:tc>
      </w:tr>
      <w:tr w:rsidR="000C4FF9" w:rsidRPr="00114E0E" w:rsidTr="00B538EE">
        <w:tc>
          <w:tcPr>
            <w:tcW w:w="9540" w:type="dxa"/>
            <w:gridSpan w:val="4"/>
            <w:shd w:val="clear" w:color="auto" w:fill="B8CCE4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 xml:space="preserve">Literatura 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Literatura bazë:  </w:t>
            </w:r>
          </w:p>
        </w:tc>
        <w:tc>
          <w:tcPr>
            <w:tcW w:w="6031" w:type="dxa"/>
            <w:gridSpan w:val="3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Skripta e ligjeratave nga profesori i lëndës: Prof.Ass. Dr. Arbenita Hasani</w:t>
            </w:r>
          </w:p>
        </w:tc>
      </w:tr>
      <w:tr w:rsidR="000C4FF9" w:rsidRPr="00114E0E" w:rsidTr="00B538EE">
        <w:tc>
          <w:tcPr>
            <w:tcW w:w="3509" w:type="dxa"/>
          </w:tcPr>
          <w:p w:rsidR="000C4FF9" w:rsidRPr="00205921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6031" w:type="dxa"/>
            <w:gridSpan w:val="3"/>
          </w:tcPr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Harry Lawson 1994. Food oils and fats: Technology, utilization and nutrition.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Allen R.R. 1982. Journal of American Oil Chemist Society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Gunstone F.D &amp; Norris F.A 1983. Lipids in foods; chemistry, biochemistry and technology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Chan H.W.S 1987. Food science &amp; technology. A series of Monographs. Autoxidation of unsaturated lipids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Fennema O.R 1985. Food Chemistry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Meyer L.H 1987. Food Chemistry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Schultz H.W &amp; Sinnhuber R.O 1962. Symposium on foods; lipids and their oxidation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Pearson 1991. Composition and analysis of foods 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Richard D. O’Brien Fats and Oils Formulating and processing for Applications </w:t>
            </w:r>
          </w:p>
          <w:p w:rsidR="000C4FF9" w:rsidRPr="002B44F1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2B44F1">
              <w:rPr>
                <w:rFonts w:ascii="Times New Roman" w:hAnsi="Times New Roman"/>
                <w:sz w:val="24"/>
                <w:szCs w:val="24"/>
                <w:lang w:val="sq-AL"/>
              </w:rPr>
              <w:t>Edible Oil processing Wolf Hamm, Richard J. Hamilton and Gijs Calliauw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0C4FF9" w:rsidRPr="00114E0E" w:rsidRDefault="000C4FF9" w:rsidP="000C4FF9">
      <w:pPr>
        <w:spacing w:after="0"/>
        <w:rPr>
          <w:rFonts w:ascii="Times New Roman" w:hAnsi="Times New Roman"/>
          <w:vanish/>
          <w:sz w:val="24"/>
          <w:szCs w:val="24"/>
          <w:lang w:val="sq-AL"/>
        </w:rPr>
      </w:pPr>
    </w:p>
    <w:tbl>
      <w:tblPr>
        <w:tblpPr w:leftFromText="180" w:rightFromText="180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6476"/>
      </w:tblGrid>
      <w:tr w:rsidR="000C4FF9" w:rsidRPr="00114E0E" w:rsidTr="00B538EE">
        <w:tc>
          <w:tcPr>
            <w:tcW w:w="9016" w:type="dxa"/>
            <w:gridSpan w:val="2"/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Plani i dizajnuar i mësimit:  </w:t>
            </w:r>
          </w:p>
        </w:tc>
      </w:tr>
      <w:tr w:rsidR="000C4FF9" w:rsidRPr="00114E0E" w:rsidTr="00B538EE">
        <w:tc>
          <w:tcPr>
            <w:tcW w:w="2540" w:type="dxa"/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476" w:type="dxa"/>
            <w:shd w:val="clear" w:color="auto" w:fill="B8CCE4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Ligjërata që do të zhvillohet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476" w:type="dxa"/>
          </w:tcPr>
          <w:p w:rsidR="000C4FF9" w:rsidRPr="003B24EF" w:rsidRDefault="000C4FF9" w:rsidP="00B538EE">
            <w:pPr>
              <w:pStyle w:val="HTMLPreformatted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Aspekte fiziko-kimike të yndyr</w:t>
            </w:r>
            <w:r w:rsidRPr="003B24EF">
              <w:rPr>
                <w:rFonts w:ascii="Times New Roman" w:hAnsi="Times New Roman"/>
                <w:sz w:val="24"/>
                <w:szCs w:val="24"/>
              </w:rPr>
              <w:t>ë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rave dhe vajrave, Përbërje kimike,  Vetitë, fizike.• Faktorët që ndikojn</w:t>
            </w:r>
            <w:r w:rsidRPr="003B24EF">
              <w:rPr>
                <w:rFonts w:ascii="Times New Roman" w:hAnsi="Times New Roman"/>
                <w:sz w:val="24"/>
                <w:szCs w:val="24"/>
              </w:rPr>
              <w:t>ë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n</w:t>
            </w:r>
            <w:r w:rsidRPr="003B24EF">
              <w:rPr>
                <w:rFonts w:ascii="Times New Roman" w:hAnsi="Times New Roman"/>
                <w:sz w:val="24"/>
                <w:szCs w:val="24"/>
              </w:rPr>
              <w:t>ë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vetit</w:t>
            </w:r>
            <w:r w:rsidRPr="003B24EF">
              <w:rPr>
                <w:rFonts w:ascii="Times New Roman" w:hAnsi="Times New Roman"/>
                <w:sz w:val="24"/>
                <w:szCs w:val="24"/>
              </w:rPr>
              <w:t>ë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fizike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476" w:type="dxa"/>
            <w:vMerge w:val="restart"/>
          </w:tcPr>
          <w:p w:rsidR="000C4FF9" w:rsidRPr="003B24EF" w:rsidRDefault="000C4FF9" w:rsidP="00B538EE">
            <w:pPr>
              <w:pStyle w:val="HTMLPreformatted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Përkeqësimi dhe prishja e lipideve. • lipoliza, • Faktorët që ndikojnë në oksidim. • Oksidimi termik i yndyr</w:t>
            </w:r>
            <w:r w:rsidRPr="00114E0E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ave dhe vajrave. • oksidimi i nxitur nga drita. Vet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B24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oksidimi</w:t>
            </w:r>
          </w:p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476" w:type="dxa"/>
            <w:vMerge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Roli i lipideve n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karakteristikat sensorike t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ushqimeve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lastRenderedPageBreak/>
              <w:t>Java e pestë: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rpunimi i 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rave dhe vajrave. Ekstraktimi, Rafinimi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Modifikimi fizik dhe kimik i yndyrrave dhe vajrave 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shtatë: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 i nd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rmjet</w:t>
            </w:r>
            <w:r w:rsidRPr="003B24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 i student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tetë: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Vajrat bimore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rat bimore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Vajrat shtazore dhe 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rat shtazore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Z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vendesuesit e 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Analizat e 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rave dhe vajrave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 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Aspektet yshqyese/nutritive t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yndyr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rave dhe vajrave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Lipidet si ushqime funksionale dhe nutraceutikale</w:t>
            </w:r>
          </w:p>
        </w:tc>
      </w:tr>
      <w:tr w:rsidR="000C4FF9" w:rsidRPr="00114E0E" w:rsidTr="00B538EE">
        <w:tc>
          <w:tcPr>
            <w:tcW w:w="2540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</w:t>
            </w:r>
          </w:p>
        </w:tc>
        <w:tc>
          <w:tcPr>
            <w:tcW w:w="6476" w:type="dxa"/>
          </w:tcPr>
          <w:p w:rsidR="000C4FF9" w:rsidRPr="00114E0E" w:rsidRDefault="000C4FF9" w:rsidP="00B538EE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Vleresimi i dyte i njohurive te studenteve</w:t>
            </w:r>
          </w:p>
        </w:tc>
      </w:tr>
    </w:tbl>
    <w:p w:rsidR="000C4FF9" w:rsidRPr="00114E0E" w:rsidRDefault="000C4FF9" w:rsidP="000C4FF9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0C4FF9" w:rsidRPr="00114E0E" w:rsidTr="00B538EE">
        <w:tc>
          <w:tcPr>
            <w:tcW w:w="8908" w:type="dxa"/>
            <w:shd w:val="clear" w:color="auto" w:fill="B8CCE4"/>
          </w:tcPr>
          <w:p w:rsidR="000C4FF9" w:rsidRPr="00114E0E" w:rsidRDefault="000C4FF9" w:rsidP="00B538EE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 akademike dhe rregullat e mirësjelljes:</w:t>
            </w:r>
          </w:p>
        </w:tc>
      </w:tr>
      <w:tr w:rsidR="000C4FF9" w:rsidRPr="00114E0E" w:rsidTr="00B538EE">
        <w:trPr>
          <w:trHeight w:val="575"/>
        </w:trPr>
        <w:tc>
          <w:tcPr>
            <w:tcW w:w="8908" w:type="dxa"/>
          </w:tcPr>
          <w:p w:rsidR="000C4FF9" w:rsidRPr="00114E0E" w:rsidRDefault="000C4FF9" w:rsidP="00B538E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Pjesëmarrja e studenteve e ligjërata dhe ushtrime është e obligueshme. Reflektimi në pune në grupe është i dëshirueshëm. </w:t>
            </w:r>
          </w:p>
        </w:tc>
      </w:tr>
    </w:tbl>
    <w:p w:rsidR="000C4FF9" w:rsidRDefault="000C4FF9" w:rsidP="000C4FF9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EB39AE" w:rsidRDefault="00EB39AE">
      <w:bookmarkStart w:id="0" w:name="_GoBack"/>
      <w:bookmarkEnd w:id="0"/>
    </w:p>
    <w:sectPr w:rsidR="00EB39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F6"/>
    <w:rsid w:val="000C4FF9"/>
    <w:rsid w:val="002B5CF6"/>
    <w:rsid w:val="00E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14A92-D084-4A8C-824E-36B7D22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F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4FF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FF9"/>
    <w:rPr>
      <w:rFonts w:ascii="Courier New" w:eastAsia="Times New Roman" w:hAnsi="Courier New" w:cs="Courier New"/>
      <w:sz w:val="20"/>
      <w:szCs w:val="20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enita.hasan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</dc:creator>
  <cp:keywords/>
  <dc:description/>
  <cp:lastModifiedBy>Nita</cp:lastModifiedBy>
  <cp:revision>2</cp:revision>
  <dcterms:created xsi:type="dcterms:W3CDTF">2019-10-23T18:22:00Z</dcterms:created>
  <dcterms:modified xsi:type="dcterms:W3CDTF">2019-10-23T18:22:00Z</dcterms:modified>
</cp:coreProperties>
</file>