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A5CE6" w14:textId="77777777" w:rsidR="001B1443" w:rsidRDefault="001B1443" w:rsidP="006A0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Formular për SYLLABUS të Lëndës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6351"/>
      </w:tblGrid>
      <w:tr w:rsidR="00DC30CE" w:rsidRPr="001B1443" w14:paraId="6DD8EC1B" w14:textId="77777777" w:rsidTr="0039774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4D9" w14:textId="77777777" w:rsidR="00DC30CE" w:rsidRPr="001B1443" w:rsidRDefault="00DC30CE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Të dhëna bazike të lëndës</w:t>
            </w:r>
          </w:p>
        </w:tc>
      </w:tr>
      <w:tr w:rsidR="001B1443" w:rsidRPr="001B1443" w14:paraId="771F88F5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AAA4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Njësia akademike: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1F88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FAKULTETI EKONOMIK</w:t>
            </w:r>
          </w:p>
        </w:tc>
      </w:tr>
      <w:tr w:rsidR="001B1443" w:rsidRPr="001B1443" w14:paraId="7A896B7A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1638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Titulli i lëndës: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1586" w14:textId="56571DDF" w:rsidR="001B1443" w:rsidRPr="002A500A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Kontabiliteti </w:t>
            </w:r>
            <w:r w:rsidR="00491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Tatimor</w:t>
            </w:r>
          </w:p>
        </w:tc>
      </w:tr>
      <w:tr w:rsidR="001B1443" w:rsidRPr="001B1443" w14:paraId="073C1F8B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1133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Niveli: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77F8" w14:textId="77777777" w:rsidR="001B1443" w:rsidRPr="001B1443" w:rsidRDefault="001B1443" w:rsidP="00DC30C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="002A5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achelor</w:t>
            </w:r>
          </w:p>
        </w:tc>
      </w:tr>
      <w:tr w:rsidR="001B1443" w:rsidRPr="001B1443" w14:paraId="389AE94F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EAF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Statusi lëndës: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1957" w14:textId="77777777" w:rsidR="001B1443" w:rsidRPr="001B1443" w:rsidRDefault="00DC30CE" w:rsidP="00DC30C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r w:rsidR="001B1443"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blig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ative</w:t>
            </w:r>
          </w:p>
        </w:tc>
      </w:tr>
      <w:tr w:rsidR="001B1443" w:rsidRPr="001B1443" w14:paraId="070BDCDF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5936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Viti i studimeve: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3A78" w14:textId="77777777" w:rsidR="001B1443" w:rsidRPr="001B1443" w:rsidRDefault="00EC0737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Semestri III (Viti i II-të)</w:t>
            </w:r>
          </w:p>
        </w:tc>
      </w:tr>
      <w:tr w:rsidR="001B1443" w:rsidRPr="001B1443" w14:paraId="69AC4C2D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113B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Numri i orëve në javë: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E371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2+1</w:t>
            </w:r>
          </w:p>
        </w:tc>
      </w:tr>
      <w:tr w:rsidR="001B1443" w:rsidRPr="001B1443" w14:paraId="6E43FC4E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4A4B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Vlera në kredi – ECTS:</w:t>
            </w:r>
          </w:p>
        </w:tc>
        <w:tc>
          <w:tcPr>
            <w:tcW w:w="6351" w:type="dxa"/>
            <w:vAlign w:val="center"/>
            <w:hideMark/>
          </w:tcPr>
          <w:p w14:paraId="3D75E0F5" w14:textId="77777777" w:rsidR="001B1443" w:rsidRPr="001B1443" w:rsidRDefault="00174F67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ECTS</w:t>
            </w:r>
          </w:p>
        </w:tc>
      </w:tr>
      <w:tr w:rsidR="001B1443" w:rsidRPr="001B1443" w14:paraId="2C507EB7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2C5B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Koha / lokacioni:</w:t>
            </w:r>
          </w:p>
        </w:tc>
        <w:tc>
          <w:tcPr>
            <w:tcW w:w="6351" w:type="dxa"/>
            <w:vAlign w:val="center"/>
            <w:hideMark/>
          </w:tcPr>
          <w:p w14:paraId="633967D0" w14:textId="77777777" w:rsidR="001B1443" w:rsidRPr="001B1443" w:rsidRDefault="001B1443" w:rsidP="00DC30C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443" w:rsidRPr="001B1443" w14:paraId="7A64BC56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F864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Mësimdhënësi i lëndës: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D9DD" w14:textId="77777777" w:rsidR="001B1443" w:rsidRPr="001B1443" w:rsidRDefault="001B5D57" w:rsidP="00DC30C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Prof.Ass.Dr.Alban Elshani</w:t>
            </w:r>
          </w:p>
        </w:tc>
      </w:tr>
      <w:tr w:rsidR="001B1443" w:rsidRPr="001B1443" w14:paraId="2905CF8C" w14:textId="77777777" w:rsidTr="001B144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3345" w14:textId="77777777" w:rsidR="001B1443" w:rsidRPr="001B1443" w:rsidRDefault="001B1443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Detajet kontaktuese: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93A5" w14:textId="77777777" w:rsidR="001B1443" w:rsidRPr="001B1443" w:rsidRDefault="001B5D57" w:rsidP="00BC63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alban.elshani</w:t>
            </w:r>
            <w:r w:rsidR="001B1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@uni-pr.edu</w:t>
            </w:r>
          </w:p>
        </w:tc>
      </w:tr>
    </w:tbl>
    <w:p w14:paraId="5EF806F3" w14:textId="77777777" w:rsidR="00FA7497" w:rsidRPr="001B1443" w:rsidRDefault="00FA74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938"/>
      </w:tblGrid>
      <w:tr w:rsidR="00FA7497" w:rsidRPr="000A55CC" w14:paraId="12971826" w14:textId="77777777" w:rsidTr="000A55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70FD" w14:textId="77777777" w:rsidR="00FA7497" w:rsidRPr="000A55CC" w:rsidRDefault="00FA7497" w:rsidP="00FA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Përshkrimi i lëndës</w:t>
            </w:r>
            <w:r w:rsidR="000A55CC" w:rsidRPr="000A5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9C82" w14:textId="77777777" w:rsidR="00FA7497" w:rsidRPr="000A55CC" w:rsidRDefault="00FA7497" w:rsidP="00B443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Programi mësimor i lëndës Kontabiliteti Tatimor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njofton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 me kërkesat themelore të ligjeve tatimore duke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shpjeguar kontekstin dhe qëllimin duke iu referuar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kërkesave themelore dhe të bazës themelore të ligjeve në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Kosovë. 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vazhdim trajtohet </w:t>
            </w:r>
            <w:r w:rsidR="00A97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krijimi dhe mbajtja e librave kontabël, deklarimi dhe pagesa e detyrimeve tatimore, TVSH dhe dispozitat ligjore për transak</w:t>
            </w:r>
            <w:r w:rsidR="00B44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97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ionet e tatueshm</w:t>
            </w:r>
            <w:r w:rsidR="00B44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A97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vendin e tyre, momentin e lindjes</w:t>
            </w:r>
            <w:r w:rsidR="00B44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lirime tatimore, njohjen e TVSH së zbritshme dhe të mbledhur, rregullimin e zbritjeve dhe rimbursimin. Më pas trajtohet aspekti ligjor dhe kontabël i detyrimeve të doganës, akcizës dhe ngarkesave tjera për furnizime dhe shitje të të mirave materiale dhe shërbimeve. Trajtohet gjithashtu aspekti ligjor dhe llogaritja e tatimeve dhe kontribute në të ardhura personale dhe të ardhurave tjera, tatimi në të ardhura të biznsneseve individuale dhe të korporatave. Në fund trajtohen dispozitat dhe aspekti kontabël i shpenzimeve të lejueshme dhe ato të palejueshme, fitimi dhe humbja kapitale, likuidimi dhe riorganizimet dhe procesi i deklarimit dhe kontrollave.</w:t>
            </w:r>
          </w:p>
        </w:tc>
      </w:tr>
      <w:tr w:rsidR="00FA7497" w:rsidRPr="000A55CC" w14:paraId="3F0F7146" w14:textId="77777777" w:rsidTr="000A55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1317" w14:textId="77777777" w:rsidR="00FA7497" w:rsidRPr="000A55CC" w:rsidRDefault="00FA7497" w:rsidP="00FA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Qëllimet e lëndës: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366B" w14:textId="77777777" w:rsidR="00FA7497" w:rsidRPr="000A55CC" w:rsidRDefault="00FA7497" w:rsidP="000A55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Përmes kësaj lëndë, studentët do të zhvillojnë një kornizë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 kuptimin e sistemit tatimor në Kosovë, aplikimin e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ligjeve tatimore për llojet e ndryshme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 bizneseve dhe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raportimin e tyre në pasqyrat financiare të kompanive.</w:t>
            </w:r>
          </w:p>
        </w:tc>
      </w:tr>
      <w:tr w:rsidR="00FA7497" w:rsidRPr="000A55CC" w14:paraId="6950C02D" w14:textId="77777777" w:rsidTr="000A55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726E" w14:textId="77777777" w:rsidR="00FA7497" w:rsidRPr="000A55CC" w:rsidRDefault="00FA7497" w:rsidP="00FA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Rezultatet e pritura të nxënies</w:t>
            </w:r>
            <w:r w:rsidR="000A55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C44C" w14:textId="77777777" w:rsidR="000A55CC" w:rsidRDefault="00FA7497" w:rsidP="000A55C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 përfundim të ciklit të ligjëratave nga kjo lëndë,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A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tudentët duhet të jenë të aftë:</w:t>
            </w:r>
          </w:p>
          <w:p w14:paraId="24A26563" w14:textId="77777777" w:rsidR="000A55CC" w:rsidRPr="000A55CC" w:rsidRDefault="00FA7497" w:rsidP="000A55C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8"/>
              <w:jc w:val="both"/>
              <w:rPr>
                <w:lang w:val="sq-AL"/>
              </w:rPr>
            </w:pPr>
            <w:r w:rsidRPr="000A55CC">
              <w:rPr>
                <w:color w:val="000000"/>
                <w:lang w:val="sq-AL"/>
              </w:rPr>
              <w:t>Të kuptojnë rëndësinë e ligjeve tatimore në</w:t>
            </w:r>
            <w:r w:rsidR="000A55CC" w:rsidRPr="000A55CC">
              <w:rPr>
                <w:color w:val="000000"/>
                <w:lang w:val="sq-AL"/>
              </w:rPr>
              <w:t xml:space="preserve"> </w:t>
            </w:r>
            <w:r w:rsidRPr="000A55CC">
              <w:rPr>
                <w:color w:val="000000"/>
                <w:lang w:val="sq-AL"/>
              </w:rPr>
              <w:t>funksi</w:t>
            </w:r>
            <w:r w:rsidR="000A55CC" w:rsidRPr="000A55CC">
              <w:rPr>
                <w:color w:val="000000"/>
                <w:lang w:val="sq-AL"/>
              </w:rPr>
              <w:t>onimin e bizneseve në Kosovë;</w:t>
            </w:r>
          </w:p>
          <w:p w14:paraId="05184F46" w14:textId="77777777" w:rsidR="000A55CC" w:rsidRPr="000A55CC" w:rsidRDefault="00FA7497" w:rsidP="000A55C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8"/>
              <w:jc w:val="both"/>
              <w:rPr>
                <w:lang w:val="sq-AL"/>
              </w:rPr>
            </w:pPr>
            <w:r w:rsidRPr="000A55CC">
              <w:rPr>
                <w:color w:val="000000"/>
                <w:lang w:val="sq-AL"/>
              </w:rPr>
              <w:t xml:space="preserve">Të </w:t>
            </w:r>
            <w:r w:rsidR="000A55CC">
              <w:rPr>
                <w:color w:val="000000"/>
                <w:lang w:val="sq-AL"/>
              </w:rPr>
              <w:t xml:space="preserve">njohin </w:t>
            </w:r>
            <w:r w:rsidR="007855A6">
              <w:rPr>
                <w:color w:val="000000"/>
                <w:lang w:val="sq-AL"/>
              </w:rPr>
              <w:t xml:space="preserve">dhe të kuptojnë </w:t>
            </w:r>
            <w:r w:rsidRPr="000A55CC">
              <w:rPr>
                <w:color w:val="000000"/>
                <w:lang w:val="sq-AL"/>
              </w:rPr>
              <w:t xml:space="preserve">llojet e </w:t>
            </w:r>
            <w:r w:rsidR="007855A6">
              <w:rPr>
                <w:color w:val="000000"/>
                <w:lang w:val="sq-AL"/>
              </w:rPr>
              <w:t>t</w:t>
            </w:r>
            <w:r w:rsidRPr="000A55CC">
              <w:rPr>
                <w:color w:val="000000"/>
                <w:lang w:val="sq-AL"/>
              </w:rPr>
              <w:t>atimeve</w:t>
            </w:r>
            <w:r w:rsidR="000A55CC" w:rsidRPr="000A55CC">
              <w:rPr>
                <w:color w:val="000000"/>
                <w:lang w:val="sq-AL"/>
              </w:rPr>
              <w:t xml:space="preserve"> </w:t>
            </w:r>
            <w:r w:rsidR="000A55CC">
              <w:rPr>
                <w:color w:val="000000"/>
                <w:lang w:val="sq-AL"/>
              </w:rPr>
              <w:t xml:space="preserve">(TVSH, TAP, TAK) </w:t>
            </w:r>
            <w:r w:rsidRPr="000A55CC">
              <w:rPr>
                <w:color w:val="000000"/>
                <w:lang w:val="sq-AL"/>
              </w:rPr>
              <w:t xml:space="preserve">dhe </w:t>
            </w:r>
            <w:r w:rsidR="007855A6">
              <w:rPr>
                <w:color w:val="000000"/>
                <w:lang w:val="sq-AL"/>
              </w:rPr>
              <w:t xml:space="preserve">të </w:t>
            </w:r>
            <w:r w:rsidR="000A55CC">
              <w:rPr>
                <w:color w:val="000000"/>
                <w:lang w:val="sq-AL"/>
              </w:rPr>
              <w:t>kontabiliz</w:t>
            </w:r>
            <w:r w:rsidR="007855A6">
              <w:rPr>
                <w:color w:val="000000"/>
                <w:lang w:val="sq-AL"/>
              </w:rPr>
              <w:t xml:space="preserve">ojnë </w:t>
            </w:r>
            <w:r w:rsidR="000A55CC">
              <w:rPr>
                <w:color w:val="000000"/>
                <w:lang w:val="sq-AL"/>
              </w:rPr>
              <w:t>detyrime</w:t>
            </w:r>
            <w:r w:rsidR="007855A6">
              <w:rPr>
                <w:color w:val="000000"/>
                <w:lang w:val="sq-AL"/>
              </w:rPr>
              <w:t xml:space="preserve">t </w:t>
            </w:r>
            <w:r w:rsidR="000A55CC">
              <w:rPr>
                <w:color w:val="000000"/>
                <w:lang w:val="sq-AL"/>
              </w:rPr>
              <w:t>tatimore dhe pagesën e tyre;</w:t>
            </w:r>
            <w:r w:rsidR="000A55CC" w:rsidRPr="000A55CC">
              <w:rPr>
                <w:color w:val="000000"/>
                <w:lang w:val="sq-AL"/>
              </w:rPr>
              <w:t xml:space="preserve"> </w:t>
            </w:r>
          </w:p>
          <w:p w14:paraId="10A5EEC6" w14:textId="77777777" w:rsidR="000A55CC" w:rsidRPr="000A55CC" w:rsidRDefault="00FA7497" w:rsidP="000A55C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8"/>
              <w:jc w:val="both"/>
              <w:rPr>
                <w:lang w:val="sq-AL"/>
              </w:rPr>
            </w:pPr>
            <w:r w:rsidRPr="000A55CC">
              <w:rPr>
                <w:color w:val="000000"/>
                <w:lang w:val="sq-AL"/>
              </w:rPr>
              <w:t xml:space="preserve">Të </w:t>
            </w:r>
            <w:r w:rsidR="007855A6">
              <w:rPr>
                <w:color w:val="000000"/>
                <w:lang w:val="sq-AL"/>
              </w:rPr>
              <w:t xml:space="preserve">aftësohen për krijimin e pasqyrave tatimore dhe veprimeve tjera lidhur me tatimet dhe kontributet; </w:t>
            </w:r>
          </w:p>
          <w:p w14:paraId="48C5DA33" w14:textId="77777777" w:rsidR="00FA7497" w:rsidRPr="000A55CC" w:rsidRDefault="00FA7497" w:rsidP="007855A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8"/>
              <w:jc w:val="both"/>
            </w:pPr>
            <w:r w:rsidRPr="000A55CC">
              <w:rPr>
                <w:color w:val="000000"/>
                <w:lang w:val="sq-AL"/>
              </w:rPr>
              <w:t xml:space="preserve">Të kuptojnë </w:t>
            </w:r>
            <w:r w:rsidR="007855A6">
              <w:rPr>
                <w:color w:val="000000"/>
                <w:lang w:val="sq-AL"/>
              </w:rPr>
              <w:t xml:space="preserve">ndërlidhjen apo efektin e zbritjeve të lejuara dhe ndikimin </w:t>
            </w:r>
            <w:r w:rsidR="007855A6" w:rsidRPr="000A55CC">
              <w:rPr>
                <w:color w:val="000000"/>
                <w:lang w:val="sq-AL"/>
              </w:rPr>
              <w:t xml:space="preserve">në pasqyrat financiare të </w:t>
            </w:r>
            <w:r w:rsidR="007855A6">
              <w:rPr>
                <w:color w:val="000000"/>
                <w:lang w:val="sq-AL"/>
              </w:rPr>
              <w:t xml:space="preserve">subjekteve </w:t>
            </w:r>
            <w:r w:rsidR="007855A6" w:rsidRPr="000A55CC">
              <w:rPr>
                <w:color w:val="000000"/>
                <w:lang w:val="sq-AL"/>
              </w:rPr>
              <w:t>të ndryshme</w:t>
            </w:r>
            <w:r w:rsidR="007855A6">
              <w:rPr>
                <w:color w:val="000000"/>
                <w:lang w:val="sq-AL"/>
              </w:rPr>
              <w:t>.</w:t>
            </w:r>
          </w:p>
        </w:tc>
      </w:tr>
    </w:tbl>
    <w:p w14:paraId="59E95C88" w14:textId="77777777" w:rsidR="00C02BFE" w:rsidRDefault="00C02BFE" w:rsidP="00C02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9"/>
        <w:gridCol w:w="717"/>
        <w:gridCol w:w="1136"/>
        <w:gridCol w:w="1537"/>
      </w:tblGrid>
      <w:tr w:rsidR="00C02BFE" w:rsidRPr="009364D7" w14:paraId="6BEA3838" w14:textId="77777777" w:rsidTr="00D32D4F">
        <w:trPr>
          <w:trHeight w:val="251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B39B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Kontributi në ngarkesën e studentit</w:t>
            </w:r>
          </w:p>
        </w:tc>
      </w:tr>
      <w:tr w:rsidR="00C02BFE" w:rsidRPr="009364D7" w14:paraId="0C71075E" w14:textId="77777777" w:rsidTr="00D32D4F">
        <w:trPr>
          <w:trHeight w:val="2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A04D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Aktiviteti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6971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Orë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C1C1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Ditë/javë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01AC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Gjithsej orë</w:t>
            </w:r>
          </w:p>
        </w:tc>
      </w:tr>
      <w:tr w:rsidR="00C02BFE" w:rsidRPr="009364D7" w14:paraId="02F07450" w14:textId="77777777" w:rsidTr="00D32D4F">
        <w:trPr>
          <w:trHeight w:val="26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597E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Ligjërata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2764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164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FE7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02BFE" w:rsidRPr="009364D7" w14:paraId="390A8E36" w14:textId="77777777" w:rsidTr="00D32D4F">
        <w:trPr>
          <w:trHeight w:val="53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CA0C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Ushtrime teorike/laboratorike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15E9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7D88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E34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2BFE" w:rsidRPr="009364D7" w14:paraId="52C7B32B" w14:textId="77777777" w:rsidTr="00D32D4F">
        <w:trPr>
          <w:trHeight w:val="26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880E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Punë praktike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6425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7DC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A81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2BFE" w:rsidRPr="009364D7" w14:paraId="347954AF" w14:textId="77777777" w:rsidTr="00D32D4F">
        <w:trPr>
          <w:trHeight w:val="26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5F92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Kontaktet me mësimdhënësin/konsultimet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53E8" w14:textId="77777777" w:rsidR="00C02BFE" w:rsidRPr="009364D7" w:rsidRDefault="00591292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C63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DB64" w14:textId="77777777" w:rsidR="00C02BFE" w:rsidRPr="009364D7" w:rsidRDefault="00591292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2BFE" w:rsidRPr="009364D7" w14:paraId="0E62B266" w14:textId="77777777" w:rsidTr="00D32D4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90BF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Ushtrime në teren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AB1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E0D5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E9F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2BFE" w:rsidRPr="009364D7" w14:paraId="3BDD1D1F" w14:textId="77777777" w:rsidTr="00D32D4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B776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Kollokiume, seminare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3DA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0F2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CAB8A15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BFE" w:rsidRPr="009364D7" w14:paraId="7E12A843" w14:textId="77777777" w:rsidTr="00D32D4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11C5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Detyra të shtëpisë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6E6F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72F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E6B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2BFE" w:rsidRPr="009364D7" w14:paraId="102E9337" w14:textId="77777777" w:rsidTr="00D32D4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17CA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Koha e studimit vetanak të studentit (në bibliotekë ose në shtëpi)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6730" w14:textId="77777777" w:rsidR="00C02BFE" w:rsidRPr="009364D7" w:rsidRDefault="00870A3F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8F3A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866" w14:textId="77777777" w:rsidR="00C02BFE" w:rsidRPr="009364D7" w:rsidRDefault="00870A3F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2BFE" w:rsidRPr="009364D7" w14:paraId="776FB99F" w14:textId="77777777" w:rsidTr="00D32D4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5682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Përgatitja përfundimtare për provim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58A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A095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389D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2BFE" w:rsidRPr="009364D7" w14:paraId="57CD3985" w14:textId="77777777" w:rsidTr="00D32D4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F9C2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Koha e kaluar në vlerësim</w:t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(teste, kuiz, provim final)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37A8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FA00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743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2BFE" w:rsidRPr="009364D7" w14:paraId="09A0E593" w14:textId="77777777" w:rsidTr="00D32D4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7788" w14:textId="77777777" w:rsidR="00C02BFE" w:rsidRPr="009364D7" w:rsidRDefault="00C02BFE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Projektet, prezantimet, etj.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A2E7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538F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4E0C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2BFE" w:rsidRPr="009364D7" w14:paraId="63E8605D" w14:textId="77777777" w:rsidTr="00D32D4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E941" w14:textId="77777777" w:rsidR="00C02BFE" w:rsidRPr="009364D7" w:rsidRDefault="00C02BFE" w:rsidP="00D32D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CF0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370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87C4" w14:textId="77777777" w:rsidR="00C02BFE" w:rsidRPr="009364D7" w:rsidRDefault="00C02BFE" w:rsidP="00D3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74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64C5BAC8" w14:textId="77777777" w:rsidR="00C02BFE" w:rsidRDefault="00C02BFE" w:rsidP="00C02B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7337"/>
      </w:tblGrid>
      <w:tr w:rsidR="00AC037D" w:rsidRPr="00A5062D" w14:paraId="32852713" w14:textId="77777777" w:rsidTr="00C876E0">
        <w:trPr>
          <w:trHeight w:val="2400"/>
        </w:trPr>
        <w:tc>
          <w:tcPr>
            <w:tcW w:w="1843" w:type="dxa"/>
            <w:shd w:val="clear" w:color="auto" w:fill="FFFFFF"/>
            <w:vAlign w:val="center"/>
          </w:tcPr>
          <w:p w14:paraId="109B732F" w14:textId="77777777" w:rsidR="00AC037D" w:rsidRPr="00A5062D" w:rsidRDefault="00AC037D" w:rsidP="00C876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0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Metodologjia</w:t>
            </w:r>
            <w:proofErr w:type="spellEnd"/>
            <w:r w:rsidRPr="00A50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50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mësimëdhënies</w:t>
            </w:r>
            <w:proofErr w:type="spellEnd"/>
            <w:r w:rsidRPr="00A50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7337" w:type="dxa"/>
            <w:shd w:val="clear" w:color="auto" w:fill="FFFFFF"/>
          </w:tcPr>
          <w:p w14:paraId="369E9476" w14:textId="77777777" w:rsidR="00AC037D" w:rsidRPr="00A5062D" w:rsidRDefault="00AC037D" w:rsidP="00C876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Mësimdhënia do të zhvillohet përmes ligjëratës, detyrave praktike,  interpretimeve individuale e grupore, punimit të seminareve, vetëvlerësimeve periodike, etj.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Ligjëratat </w:t>
            </w:r>
            <w:r w:rsidRPr="00A5062D">
              <w:rPr>
                <w:rFonts w:ascii="Times New Roman" w:eastAsia="Times New Roman" w:hAnsi="Times New Roman" w:cs="Times New Roman"/>
                <w:sz w:val="24"/>
                <w:szCs w:val="24"/>
              </w:rPr>
              <w:t>do të realizohe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A5062D">
              <w:rPr>
                <w:rFonts w:ascii="Times New Roman" w:eastAsia="Times New Roman" w:hAnsi="Times New Roman" w:cs="Times New Roman"/>
                <w:sz w:val="24"/>
                <w:szCs w:val="24"/>
              </w:rPr>
              <w:t>duke i prezantuar materialet në formën audio-vizule përmes teknologjisë elektronike me programet e Windows Office.</w:t>
            </w:r>
          </w:p>
          <w:p w14:paraId="7CB24A28" w14:textId="77777777" w:rsidR="00AC037D" w:rsidRPr="00A5062D" w:rsidRDefault="00AC037D" w:rsidP="00C876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2D">
              <w:rPr>
                <w:rFonts w:ascii="Times New Roman" w:eastAsia="Times New Roman" w:hAnsi="Times New Roman" w:cs="Times New Roman"/>
                <w:sz w:val="24"/>
                <w:szCs w:val="24"/>
              </w:rPr>
              <w:t>Në aspektin teorik do të ofrohen njohuri të përgjithshme shkencore, bazuar në literaturën bashkëkohore.</w:t>
            </w:r>
          </w:p>
          <w:p w14:paraId="5ED3D1D2" w14:textId="77777777" w:rsidR="00AC037D" w:rsidRPr="00A5062D" w:rsidRDefault="00AC037D" w:rsidP="00C876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Pjesa praktike kryesisht do të realizohet përmes shembujve konkret nga literatura dhe nga njohuritë praktike në ndërmarrjet prodhuese private e publike dhe te organizatat jofitimprurëse. </w:t>
            </w:r>
          </w:p>
          <w:p w14:paraId="7F2557B3" w14:textId="77777777" w:rsidR="00AC037D" w:rsidRPr="00A5062D" w:rsidRDefault="00AC037D" w:rsidP="00C876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62D">
              <w:rPr>
                <w:rFonts w:ascii="Times New Roman" w:eastAsia="Times New Roman" w:hAnsi="Times New Roman" w:cs="Times New Roman"/>
                <w:sz w:val="24"/>
                <w:szCs w:val="24"/>
              </w:rPr>
              <w:t>Përmes kësaj meto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A50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logjie synojmë krijimin e raporteve ndër-vepruese profesor–student si dhe ai student-student. </w:t>
            </w:r>
          </w:p>
          <w:p w14:paraId="56A27C3D" w14:textId="77777777" w:rsidR="00AC037D" w:rsidRPr="00A5062D" w:rsidRDefault="00AC037D" w:rsidP="00C876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938C17F" w14:textId="77777777" w:rsidR="00AC037D" w:rsidRDefault="00AC037D" w:rsidP="00C02B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7796"/>
      </w:tblGrid>
      <w:tr w:rsidR="00C02BFE" w:rsidRPr="009364D7" w14:paraId="31BDE3DF" w14:textId="77777777" w:rsidTr="0007059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E473" w14:textId="77777777" w:rsidR="00C02BFE" w:rsidRPr="009364D7" w:rsidRDefault="00C02BFE" w:rsidP="00D3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Metodat e vlerësimit: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5765" w14:textId="77777777" w:rsidR="00C02BFE" w:rsidRDefault="00070599" w:rsidP="00070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 duhet të jenë pjesëmarrës aktivë të procesit mësimor. Mësimi aktiv kërkon që studentët të reflektojnë mbi gjërat që diskutohen e jo të jenë pranues pasivë të informative që u jepen. Ata janë inkurajuar që të shtrojnë pyetje. Po ashtu do të organizohet edhe puna grupore, në mënyrë që studentët të diskutojnë çështjet relevante dhe të këmbejnë mendimet e tyre. Natyrisht, paraprakisht do të kërkohet leximi dhe thellimi në literature relevante të lëndës.</w:t>
            </w:r>
          </w:p>
          <w:p w14:paraId="003FFC47" w14:textId="77777777" w:rsidR="003D17F8" w:rsidRPr="00070599" w:rsidRDefault="003D17F8" w:rsidP="00070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BFE" w:rsidRPr="009364D7" w14:paraId="5C55B27C" w14:textId="77777777" w:rsidTr="0007059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9EB4" w14:textId="77777777" w:rsidR="00C02BFE" w:rsidRPr="009364D7" w:rsidRDefault="00C02BFE" w:rsidP="00D3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Metodat e vlerësimit: </w:t>
            </w:r>
          </w:p>
        </w:tc>
        <w:tc>
          <w:tcPr>
            <w:tcW w:w="7796" w:type="dxa"/>
            <w:vAlign w:val="center"/>
          </w:tcPr>
          <w:p w14:paraId="70644C8F" w14:textId="77777777" w:rsidR="00C02BFE" w:rsidRPr="009364D7" w:rsidRDefault="00C02BFE" w:rsidP="00D32D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 i studentëve konsiston në:</w:t>
            </w:r>
          </w:p>
          <w:p w14:paraId="0FC1C2FE" w14:textId="77777777" w:rsidR="00C02BFE" w:rsidRPr="009364D7" w:rsidRDefault="00C02BFE" w:rsidP="00C02BFE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Punimi seminarik:</w:t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 pikë</w:t>
            </w:r>
          </w:p>
          <w:p w14:paraId="17624612" w14:textId="77777777" w:rsidR="00C02BFE" w:rsidRPr="009364D7" w:rsidRDefault="00C02BFE" w:rsidP="00C02BFE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Testi I (kolokiumi):</w:t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40 pikë</w:t>
            </w:r>
          </w:p>
          <w:p w14:paraId="3026D211" w14:textId="77777777" w:rsidR="00C02BFE" w:rsidRPr="009364D7" w:rsidRDefault="00C02BFE" w:rsidP="00C02BFE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Testi II (kolokiumi):</w:t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3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40 pikë</w:t>
            </w:r>
          </w:p>
        </w:tc>
      </w:tr>
    </w:tbl>
    <w:p w14:paraId="5EAD36DB" w14:textId="77777777" w:rsidR="00FA7497" w:rsidRDefault="00FA74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237"/>
      </w:tblGrid>
      <w:tr w:rsidR="00FD2381" w:rsidRPr="00FD2381" w14:paraId="457F225F" w14:textId="77777777" w:rsidTr="005A138F">
        <w:trPr>
          <w:trHeight w:val="42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1E5A68" w14:textId="77777777" w:rsidR="00FD2381" w:rsidRPr="00FD2381" w:rsidRDefault="00FD2381" w:rsidP="00FA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Literatura</w:t>
            </w:r>
            <w:proofErr w:type="spellEnd"/>
          </w:p>
        </w:tc>
      </w:tr>
      <w:tr w:rsidR="00FD2381" w:rsidRPr="00FD2381" w14:paraId="4EF53DBC" w14:textId="77777777" w:rsidTr="004F2B5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6124" w14:textId="77777777" w:rsidR="00317138" w:rsidRPr="00201BE2" w:rsidRDefault="00317138" w:rsidP="00FA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1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Literatura</w:t>
            </w:r>
            <w:proofErr w:type="spellEnd"/>
            <w:r w:rsidRPr="00201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bazë</w:t>
            </w:r>
            <w:proofErr w:type="spellEnd"/>
            <w:r w:rsidRPr="00201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D9789F" w14:textId="77777777" w:rsidR="00317138" w:rsidRPr="00FD2381" w:rsidRDefault="00BC6397" w:rsidP="0031713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17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KAF, F6 – TATIMET,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Prishtinë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2014</w:t>
            </w:r>
          </w:p>
        </w:tc>
      </w:tr>
      <w:tr w:rsidR="00FD2381" w:rsidRPr="00FD2381" w14:paraId="7DDAC1AD" w14:textId="77777777" w:rsidTr="004F2B5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433" w14:textId="77777777" w:rsidR="00317138" w:rsidRPr="00201BE2" w:rsidRDefault="00317138" w:rsidP="00FA7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01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Lieratura</w:t>
            </w:r>
            <w:proofErr w:type="spellEnd"/>
            <w:r w:rsidRPr="00201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plotësuese</w:t>
            </w:r>
            <w:proofErr w:type="spellEnd"/>
            <w:r w:rsidRPr="00201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7645" w14:textId="77777777" w:rsidR="00D74491" w:rsidRPr="00FD2381" w:rsidRDefault="00BC6397" w:rsidP="00317138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17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Prof.</w:t>
            </w:r>
            <w:r w:rsidR="00F54B81"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</w:t>
            </w:r>
            <w:r w:rsidR="00F54B81"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Dr.Muhamet</w:t>
            </w:r>
            <w:proofErr w:type="spellEnd"/>
            <w:proofErr w:type="gram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Aliu,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Përmbledhje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ligjeratave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detyra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studimore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2018.</w:t>
            </w:r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AF90251" w14:textId="77777777" w:rsidR="00317138" w:rsidRPr="00FD2381" w:rsidRDefault="00BC6397" w:rsidP="00201BE2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17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Ligjet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tatimore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epublikës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së</w:t>
            </w:r>
            <w:proofErr w:type="spellEnd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3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Kosovës</w:t>
            </w:r>
            <w:proofErr w:type="spellEnd"/>
          </w:p>
        </w:tc>
      </w:tr>
    </w:tbl>
    <w:p w14:paraId="4C450B66" w14:textId="77777777" w:rsidR="004F2B5E" w:rsidRDefault="004F2B5E" w:rsidP="004F2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2B5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317E79" w:rsidRPr="000E6C3B" w14:paraId="321E5BFC" w14:textId="77777777" w:rsidTr="00317E79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425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Plani i dizejnuar i mësimit:</w:t>
            </w:r>
          </w:p>
        </w:tc>
      </w:tr>
      <w:tr w:rsidR="00317E79" w:rsidRPr="000E6C3B" w14:paraId="6C4F5AB9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A365" w14:textId="77777777" w:rsidR="00317E79" w:rsidRPr="000E6C3B" w:rsidRDefault="00317E79" w:rsidP="00D32D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3328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Ligjërata që do të zhvillohet</w:t>
            </w:r>
          </w:p>
        </w:tc>
      </w:tr>
      <w:tr w:rsidR="00317E79" w:rsidRPr="000E6C3B" w14:paraId="390DE3E3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5934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parë: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EC3E" w14:textId="77777777" w:rsidR="00317E79" w:rsidRPr="000E6C3B" w:rsidRDefault="00317E79" w:rsidP="00317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E79">
              <w:rPr>
                <w:rFonts w:ascii="Times New Roman" w:hAnsi="Times New Roman" w:cs="Times New Roman"/>
                <w:sz w:val="24"/>
                <w:szCs w:val="24"/>
              </w:rPr>
              <w:t>Shoqëritë tregtare dhe format e organizimit të tyre në R.e Kosovës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aspekti tatimor</w:t>
            </w:r>
          </w:p>
        </w:tc>
      </w:tr>
      <w:tr w:rsidR="00317E79" w:rsidRPr="000E6C3B" w14:paraId="2E64FEF3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3B60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dytë: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FC1" w14:textId="77777777" w:rsidR="00317E79" w:rsidRPr="000E6C3B" w:rsidRDefault="00317E79" w:rsidP="00317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Procedura administrative për regjistrimin dhe ç`regjistrimin e biznesve</w:t>
            </w:r>
          </w:p>
        </w:tc>
      </w:tr>
      <w:tr w:rsidR="00317E79" w:rsidRPr="000E6C3B" w14:paraId="4999C8A9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6FF7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Java e tretë</w:t>
            </w: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B4" w14:textId="77777777" w:rsidR="00317E79" w:rsidRPr="00BA07DB" w:rsidRDefault="00BA07DB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TVSh-ja dhe dispozitat e përgjithshme për TVSh </w:t>
            </w:r>
          </w:p>
        </w:tc>
      </w:tr>
      <w:tr w:rsidR="00317E79" w:rsidRPr="000E6C3B" w14:paraId="7E81F4A1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E74B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katërt: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F14D" w14:textId="77777777" w:rsidR="00317E79" w:rsidRPr="00BA07DB" w:rsidRDefault="00BA07DB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Faturimi dhe personat e obligueshëm për të paguar TVSh-në </w:t>
            </w:r>
          </w:p>
        </w:tc>
      </w:tr>
      <w:tr w:rsidR="00317E79" w:rsidRPr="000E6C3B" w14:paraId="368049E0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C6A3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pestë: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48AF" w14:textId="77777777" w:rsidR="00317E79" w:rsidRPr="00BA07DB" w:rsidRDefault="00BA07DB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Periudha tatimore, dorëzimi i deklaratës dhe pagesa </w:t>
            </w:r>
          </w:p>
        </w:tc>
      </w:tr>
      <w:tr w:rsidR="00317E79" w:rsidRPr="000E6C3B" w14:paraId="01FFABF5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EA38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Java e gjashtë</w:t>
            </w: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9FF" w14:textId="77777777" w:rsidR="00317E79" w:rsidRPr="00BA07DB" w:rsidRDefault="00BA07DB" w:rsidP="00BA07D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>raktik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kontabilizimit </w:t>
            </w: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>deklarimi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të </w:t>
            </w: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>TVSh-së</w:t>
            </w:r>
          </w:p>
        </w:tc>
      </w:tr>
      <w:tr w:rsidR="00317E79" w:rsidRPr="000E6C3B" w14:paraId="55EE8AD1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432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shtatë: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12DD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Testi i parë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(Kolokiumi I)</w:t>
            </w:r>
          </w:p>
        </w:tc>
      </w:tr>
      <w:tr w:rsidR="00317E79" w:rsidRPr="000E6C3B" w14:paraId="18731DC0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484C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tetë: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352" w14:textId="77777777" w:rsidR="00317E79" w:rsidRPr="00BA07DB" w:rsidRDefault="00BA07DB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>Dogana dhe akciza</w:t>
            </w:r>
          </w:p>
        </w:tc>
      </w:tr>
      <w:tr w:rsidR="00317E79" w:rsidRPr="000E6C3B" w14:paraId="39DECF4A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01A1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nëntë: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DC6" w14:textId="77777777" w:rsidR="00317E79" w:rsidRPr="00BA07DB" w:rsidRDefault="00BA07DB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>Dispozitat e përgjithshme dhe të veçanta për TAP</w:t>
            </w:r>
          </w:p>
        </w:tc>
      </w:tr>
      <w:tr w:rsidR="00317E79" w:rsidRPr="000E6C3B" w14:paraId="3E15EF57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1530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dhjetë: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AF7" w14:textId="77777777" w:rsidR="00317E79" w:rsidRPr="00BA07DB" w:rsidRDefault="00BA07DB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7DB">
              <w:rPr>
                <w:rFonts w:ascii="Times New Roman" w:eastAsia="Times New Roman" w:hAnsi="Times New Roman" w:cs="Times New Roman"/>
                <w:sz w:val="24"/>
                <w:szCs w:val="24"/>
              </w:rPr>
              <w:t>Shpenzimet afariste të lejueshme dhe të palejueshme</w:t>
            </w:r>
          </w:p>
        </w:tc>
      </w:tr>
      <w:tr w:rsidR="00317E79" w:rsidRPr="000E6C3B" w14:paraId="7A7F2F6C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AEE0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Java e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njëmbëdhjetë</w:t>
            </w: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B227" w14:textId="77777777" w:rsidR="00317E79" w:rsidRPr="008D1CF8" w:rsidRDefault="008D1CF8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1CF8">
              <w:rPr>
                <w:rFonts w:ascii="Times New Roman" w:eastAsia="Times New Roman" w:hAnsi="Times New Roman" w:cs="Times New Roman"/>
                <w:sz w:val="24"/>
                <w:szCs w:val="24"/>
              </w:rPr>
              <w:t>Ortakëritë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D1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grupimi i personave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dhe t</w:t>
            </w:r>
            <w:r w:rsidRPr="008D1CF8">
              <w:rPr>
                <w:rFonts w:ascii="Times New Roman" w:eastAsia="Times New Roman" w:hAnsi="Times New Roman" w:cs="Times New Roman"/>
                <w:sz w:val="24"/>
                <w:szCs w:val="24"/>
              </w:rPr>
              <w:t>atimi në të ardhura të korporatave</w:t>
            </w:r>
          </w:p>
        </w:tc>
      </w:tr>
      <w:tr w:rsidR="00317E79" w:rsidRPr="000E6C3B" w14:paraId="7DD60EEF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3758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Java e dymbëdhjetë</w:t>
            </w: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2792" w14:textId="77777777" w:rsidR="00317E79" w:rsidRPr="008D1CF8" w:rsidRDefault="008D1CF8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1CF8">
              <w:rPr>
                <w:rFonts w:ascii="Times New Roman" w:eastAsia="Times New Roman" w:hAnsi="Times New Roman" w:cs="Times New Roman"/>
                <w:sz w:val="24"/>
                <w:szCs w:val="24"/>
              </w:rPr>
              <w:t>Fitimet dhe humbjet në kapital, likuidimet dhe riorganizimet, transferi i çmimeve  dhe njësitë e përhershme</w:t>
            </w:r>
          </w:p>
        </w:tc>
      </w:tr>
      <w:tr w:rsidR="00317E79" w:rsidRPr="000E6C3B" w14:paraId="690A79DF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F39E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Java e trembëdhjetë</w:t>
            </w: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391" w14:textId="77777777" w:rsidR="00317E79" w:rsidRPr="008D1CF8" w:rsidRDefault="008D1CF8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1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Mbajtja </w:t>
            </w:r>
            <w:r w:rsidRPr="005B3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burim e tatimeve, </w:t>
            </w:r>
            <w:r w:rsidR="005B39A8" w:rsidRPr="005B39A8">
              <w:rPr>
                <w:rFonts w:ascii="Times New Roman" w:eastAsia="Times New Roman" w:hAnsi="Times New Roman" w:cs="Times New Roman"/>
                <w:sz w:val="24"/>
                <w:szCs w:val="24"/>
              </w:rPr>
              <w:t>deklarimi dhe pagesa e tatimeve</w:t>
            </w:r>
          </w:p>
        </w:tc>
      </w:tr>
      <w:tr w:rsidR="00317E79" w:rsidRPr="000E6C3B" w14:paraId="41D4BA23" w14:textId="77777777" w:rsidTr="00201BE2">
        <w:trPr>
          <w:trHeight w:val="5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42B1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Java e katërmbëdhjetë</w:t>
            </w: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629B" w14:textId="77777777" w:rsidR="00317E79" w:rsidRPr="000E6C3B" w:rsidRDefault="00201BE2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BE2">
              <w:rPr>
                <w:rFonts w:ascii="Times New Roman" w:eastAsia="Times New Roman" w:hAnsi="Times New Roman" w:cs="Times New Roman"/>
                <w:sz w:val="24"/>
                <w:szCs w:val="24"/>
              </w:rPr>
              <w:t>Kërkesat ligjore për përgatitjen dhe auditimin e pasqyrave financiare</w:t>
            </w:r>
          </w:p>
        </w:tc>
      </w:tr>
      <w:tr w:rsidR="00317E79" w:rsidRPr="000E6C3B" w14:paraId="286672C9" w14:textId="77777777" w:rsidTr="00317E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A4C9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Java e pesëmbëdhjetë</w:t>
            </w:r>
            <w:r w:rsidRPr="000E6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8538" w14:textId="77777777" w:rsidR="00317E79" w:rsidRPr="000E6C3B" w:rsidRDefault="00317E79" w:rsidP="00D32D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Testi i dytë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(Kolokiumi II)</w:t>
            </w:r>
          </w:p>
        </w:tc>
      </w:tr>
      <w:tr w:rsidR="004F2B5E" w:rsidRPr="004F2B5E" w14:paraId="42E2E737" w14:textId="77777777" w:rsidTr="004F2B5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60C2" w14:textId="77777777" w:rsidR="004F2B5E" w:rsidRPr="004F2B5E" w:rsidRDefault="004F2B5E" w:rsidP="004F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Politikat akademike dhe rregullat e mirësjelljes:</w:t>
            </w:r>
          </w:p>
        </w:tc>
      </w:tr>
      <w:tr w:rsidR="004F2B5E" w:rsidRPr="004F2B5E" w14:paraId="74F203F5" w14:textId="77777777" w:rsidTr="004F2B5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02D3" w14:textId="77777777" w:rsidR="004F2B5E" w:rsidRPr="004F2B5E" w:rsidRDefault="004F2B5E" w:rsidP="004F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Vijimi i rregullt i ligjëratave dhe ushtrimeve është i obliguar për të gjithë studentët e rregullt. Të gjithë studentët janë të obliguar që t’i përfillin rregullat e mirësj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elljes: mbajtja e qetësisë, ç`kyq</w:t>
            </w:r>
            <w:r w:rsidRPr="004F2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 e telefonave celularë dhe hyrja në sallë me kohë.</w:t>
            </w:r>
          </w:p>
        </w:tc>
      </w:tr>
    </w:tbl>
    <w:p w14:paraId="038ECDC3" w14:textId="77777777" w:rsidR="001B1443" w:rsidRPr="001B1443" w:rsidRDefault="001B1443">
      <w:pPr>
        <w:rPr>
          <w:rFonts w:ascii="Times New Roman" w:hAnsi="Times New Roman" w:cs="Times New Roman"/>
          <w:sz w:val="24"/>
          <w:szCs w:val="24"/>
        </w:rPr>
      </w:pPr>
    </w:p>
    <w:sectPr w:rsidR="001B1443" w:rsidRPr="001B14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2C7A"/>
    <w:multiLevelType w:val="hybridMultilevel"/>
    <w:tmpl w:val="09B48242"/>
    <w:lvl w:ilvl="0" w:tplc="A1060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C8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EA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A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10C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A0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60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A1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E8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541E72"/>
    <w:multiLevelType w:val="hybridMultilevel"/>
    <w:tmpl w:val="636EE3A8"/>
    <w:lvl w:ilvl="0" w:tplc="43B86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442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22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0E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20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6C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6F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AB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89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64C35E2"/>
    <w:multiLevelType w:val="hybridMultilevel"/>
    <w:tmpl w:val="DEC4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31038"/>
    <w:multiLevelType w:val="hybridMultilevel"/>
    <w:tmpl w:val="7B026CEC"/>
    <w:lvl w:ilvl="0" w:tplc="B1EA0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45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2F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C3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6B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4F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2F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01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28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6840222">
    <w:abstractNumId w:val="0"/>
  </w:num>
  <w:num w:numId="2" w16cid:durableId="882406234">
    <w:abstractNumId w:val="1"/>
  </w:num>
  <w:num w:numId="3" w16cid:durableId="1001009312">
    <w:abstractNumId w:val="3"/>
  </w:num>
  <w:num w:numId="4" w16cid:durableId="43976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A9"/>
    <w:rsid w:val="00070599"/>
    <w:rsid w:val="000A55CC"/>
    <w:rsid w:val="00174F67"/>
    <w:rsid w:val="00176D10"/>
    <w:rsid w:val="001B1443"/>
    <w:rsid w:val="001B5D57"/>
    <w:rsid w:val="00201BE2"/>
    <w:rsid w:val="002919D6"/>
    <w:rsid w:val="002A500A"/>
    <w:rsid w:val="002B5F0B"/>
    <w:rsid w:val="00317138"/>
    <w:rsid w:val="00317E79"/>
    <w:rsid w:val="003D17F8"/>
    <w:rsid w:val="004313C3"/>
    <w:rsid w:val="00491123"/>
    <w:rsid w:val="004D74D5"/>
    <w:rsid w:val="004F2B5E"/>
    <w:rsid w:val="00591292"/>
    <w:rsid w:val="005B39A8"/>
    <w:rsid w:val="005C2365"/>
    <w:rsid w:val="0069658D"/>
    <w:rsid w:val="006A0550"/>
    <w:rsid w:val="00741BE4"/>
    <w:rsid w:val="007855A6"/>
    <w:rsid w:val="00847930"/>
    <w:rsid w:val="0085198E"/>
    <w:rsid w:val="00870A3F"/>
    <w:rsid w:val="008D1CF8"/>
    <w:rsid w:val="009431EF"/>
    <w:rsid w:val="00A97C9F"/>
    <w:rsid w:val="00AC037D"/>
    <w:rsid w:val="00B44326"/>
    <w:rsid w:val="00BA07DB"/>
    <w:rsid w:val="00BC6397"/>
    <w:rsid w:val="00C02BFE"/>
    <w:rsid w:val="00CA0BA9"/>
    <w:rsid w:val="00CB40D8"/>
    <w:rsid w:val="00D74491"/>
    <w:rsid w:val="00DC30CE"/>
    <w:rsid w:val="00EC0737"/>
    <w:rsid w:val="00F54B81"/>
    <w:rsid w:val="00FA7497"/>
    <w:rsid w:val="00F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C334F"/>
  <w15:docId w15:val="{DFCD7E11-8131-4A2F-8C86-9EDD4D4F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CB40D8"/>
    <w:rPr>
      <w:rFonts w:ascii="Times New Roman" w:hAnsi="Times New Roman"/>
      <w:b/>
      <w:i/>
      <w:iCs/>
      <w:color w:val="auto"/>
      <w:sz w:val="32"/>
      <w:u w:val="single"/>
    </w:rPr>
  </w:style>
  <w:style w:type="paragraph" w:styleId="ListParagraph">
    <w:name w:val="List Paragraph"/>
    <w:basedOn w:val="Normal"/>
    <w:uiPriority w:val="34"/>
    <w:qFormat/>
    <w:rsid w:val="00176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5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72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109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5083</Characters>
  <Application>Microsoft Office Word</Application>
  <DocSecurity>0</DocSecurity>
  <Lines>203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Muhamet Aliu</dc:creator>
  <cp:keywords/>
  <dc:description/>
  <cp:lastModifiedBy>Alban Elshani</cp:lastModifiedBy>
  <cp:revision>5</cp:revision>
  <cp:lastPrinted>2024-11-21T10:59:00Z</cp:lastPrinted>
  <dcterms:created xsi:type="dcterms:W3CDTF">2024-11-21T10:58:00Z</dcterms:created>
  <dcterms:modified xsi:type="dcterms:W3CDTF">2024-11-21T10:59:00Z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3f9ffc6346c9f66bd6a9b4bdc56029279fe617954cf1c34416405276e123f2f8</vt:lpwstr>
  </property>
</Properties>
</file>