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9D61" w14:textId="77777777" w:rsidR="003E3193" w:rsidRPr="008F686C" w:rsidRDefault="002D3069" w:rsidP="00C76E78">
      <w:pPr>
        <w:ind w:left="-450"/>
        <w:rPr>
          <w:rFonts w:ascii="Calibri" w:hAnsi="Calibri" w:cs="Calibri"/>
          <w:b/>
          <w:sz w:val="28"/>
          <w:u w:val="single"/>
        </w:rPr>
      </w:pPr>
      <w:r w:rsidRPr="008F686C">
        <w:rPr>
          <w:rFonts w:ascii="Calibri" w:hAnsi="Calibri" w:cs="Calibri"/>
          <w:b/>
          <w:sz w:val="28"/>
          <w:u w:val="single"/>
        </w:rPr>
        <w:t>SYL</w:t>
      </w:r>
      <w:r w:rsidR="00781805" w:rsidRPr="008F686C">
        <w:rPr>
          <w:rFonts w:ascii="Calibri" w:hAnsi="Calibri" w:cs="Calibri"/>
          <w:b/>
          <w:sz w:val="28"/>
          <w:u w:val="single"/>
        </w:rPr>
        <w:t>L</w:t>
      </w:r>
      <w:r w:rsidR="004C0CCA" w:rsidRPr="008F686C">
        <w:rPr>
          <w:rFonts w:ascii="Calibri" w:hAnsi="Calibri" w:cs="Calibri"/>
          <w:b/>
          <w:sz w:val="28"/>
          <w:u w:val="single"/>
        </w:rPr>
        <w:t>ABUS</w:t>
      </w:r>
      <w:r w:rsidR="00781805" w:rsidRPr="008F686C">
        <w:rPr>
          <w:rFonts w:ascii="Calibri" w:hAnsi="Calibri" w:cs="Calibri"/>
          <w:b/>
          <w:sz w:val="28"/>
          <w:u w:val="single"/>
        </w:rPr>
        <w:t xml:space="preserve"> </w:t>
      </w:r>
    </w:p>
    <w:p w14:paraId="240275D2" w14:textId="77777777" w:rsidR="00CF116F" w:rsidRPr="008F686C" w:rsidRDefault="00CF116F">
      <w:pPr>
        <w:rPr>
          <w:rFonts w:ascii="Calibri" w:hAnsi="Calibri" w:cs="Calibri"/>
          <w:sz w:val="18"/>
        </w:rPr>
      </w:pPr>
    </w:p>
    <w:tbl>
      <w:tblPr>
        <w:tblW w:w="93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898"/>
        <w:gridCol w:w="990"/>
        <w:gridCol w:w="1422"/>
        <w:gridCol w:w="1440"/>
      </w:tblGrid>
      <w:tr w:rsidR="00CF116F" w:rsidRPr="008F686C" w14:paraId="6C33F25C" w14:textId="77777777" w:rsidTr="007B2F81">
        <w:tc>
          <w:tcPr>
            <w:tcW w:w="9360" w:type="dxa"/>
            <w:gridSpan w:val="5"/>
            <w:shd w:val="clear" w:color="auto" w:fill="B8CCE4"/>
          </w:tcPr>
          <w:p w14:paraId="0D6EBC21" w14:textId="77777777" w:rsidR="00CF116F" w:rsidRPr="008F686C" w:rsidRDefault="00341974" w:rsidP="00CF116F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Basic data </w:t>
            </w:r>
            <w:proofErr w:type="spellStart"/>
            <w:r w:rsidRPr="008F686C">
              <w:rPr>
                <w:rFonts w:ascii="Calibri" w:hAnsi="Calibri" w:cs="Calibri"/>
                <w:b/>
                <w:sz w:val="22"/>
                <w:szCs w:val="22"/>
              </w:rPr>
              <w:t>por</w:t>
            </w:r>
            <w:proofErr w:type="spellEnd"/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 subject:</w:t>
            </w:r>
          </w:p>
        </w:tc>
      </w:tr>
      <w:tr w:rsidR="00341974" w:rsidRPr="008F686C" w14:paraId="48846D19" w14:textId="77777777" w:rsidTr="002F114F">
        <w:tc>
          <w:tcPr>
            <w:tcW w:w="2610" w:type="dxa"/>
          </w:tcPr>
          <w:p w14:paraId="1FE5B25A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Academic unit: </w:t>
            </w:r>
          </w:p>
        </w:tc>
        <w:tc>
          <w:tcPr>
            <w:tcW w:w="6750" w:type="dxa"/>
            <w:gridSpan w:val="4"/>
          </w:tcPr>
          <w:p w14:paraId="49F7F525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Economic Faculty</w:t>
            </w:r>
          </w:p>
        </w:tc>
      </w:tr>
      <w:tr w:rsidR="00341974" w:rsidRPr="008F686C" w14:paraId="0A23FD76" w14:textId="77777777" w:rsidTr="002F114F">
        <w:tc>
          <w:tcPr>
            <w:tcW w:w="2610" w:type="dxa"/>
          </w:tcPr>
          <w:p w14:paraId="1B5A3E10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Subject:</w:t>
            </w:r>
          </w:p>
        </w:tc>
        <w:tc>
          <w:tcPr>
            <w:tcW w:w="6750" w:type="dxa"/>
            <w:gridSpan w:val="4"/>
          </w:tcPr>
          <w:p w14:paraId="700BA774" w14:textId="0B1AF1E6" w:rsidR="00341974" w:rsidRPr="008F686C" w:rsidRDefault="00147605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Economics of </w:t>
            </w:r>
            <w:r w:rsidR="00277008">
              <w:rPr>
                <w:rFonts w:ascii="Calibri" w:hAnsi="Calibri" w:cs="Calibri"/>
                <w:b/>
                <w:sz w:val="22"/>
                <w:szCs w:val="22"/>
              </w:rPr>
              <w:t>European Integration</w:t>
            </w:r>
          </w:p>
        </w:tc>
      </w:tr>
      <w:tr w:rsidR="00341974" w:rsidRPr="008F686C" w14:paraId="05EA3D3A" w14:textId="77777777" w:rsidTr="002F114F">
        <w:tc>
          <w:tcPr>
            <w:tcW w:w="2610" w:type="dxa"/>
          </w:tcPr>
          <w:p w14:paraId="21BF5623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Level:</w:t>
            </w:r>
          </w:p>
        </w:tc>
        <w:tc>
          <w:tcPr>
            <w:tcW w:w="6750" w:type="dxa"/>
            <w:gridSpan w:val="4"/>
          </w:tcPr>
          <w:p w14:paraId="44582E05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BSc</w:t>
            </w:r>
          </w:p>
        </w:tc>
      </w:tr>
      <w:tr w:rsidR="00341974" w:rsidRPr="008F686C" w14:paraId="5E1EF800" w14:textId="77777777" w:rsidTr="002F114F">
        <w:tc>
          <w:tcPr>
            <w:tcW w:w="2610" w:type="dxa"/>
          </w:tcPr>
          <w:p w14:paraId="063B9185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Subject status:</w:t>
            </w:r>
          </w:p>
        </w:tc>
        <w:tc>
          <w:tcPr>
            <w:tcW w:w="6750" w:type="dxa"/>
            <w:gridSpan w:val="4"/>
          </w:tcPr>
          <w:p w14:paraId="364A5EAE" w14:textId="77777777" w:rsidR="00341974" w:rsidRPr="008F686C" w:rsidRDefault="00FA3FEB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Obligatory</w:t>
            </w:r>
          </w:p>
        </w:tc>
      </w:tr>
      <w:tr w:rsidR="00341974" w:rsidRPr="008F686C" w14:paraId="1CC4A9A8" w14:textId="77777777" w:rsidTr="002F114F">
        <w:tc>
          <w:tcPr>
            <w:tcW w:w="2610" w:type="dxa"/>
          </w:tcPr>
          <w:p w14:paraId="651CFA14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Study year:</w:t>
            </w:r>
          </w:p>
        </w:tc>
        <w:tc>
          <w:tcPr>
            <w:tcW w:w="6750" w:type="dxa"/>
            <w:gridSpan w:val="4"/>
          </w:tcPr>
          <w:p w14:paraId="23B2C88E" w14:textId="4C0C8174" w:rsidR="00341974" w:rsidRPr="008F686C" w:rsidRDefault="00147605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341974" w:rsidRPr="008F686C" w14:paraId="4DD47CC1" w14:textId="77777777" w:rsidTr="002F114F">
        <w:tc>
          <w:tcPr>
            <w:tcW w:w="2610" w:type="dxa"/>
          </w:tcPr>
          <w:p w14:paraId="3FAD631B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No. of hours per week:</w:t>
            </w:r>
          </w:p>
        </w:tc>
        <w:tc>
          <w:tcPr>
            <w:tcW w:w="6750" w:type="dxa"/>
            <w:gridSpan w:val="4"/>
          </w:tcPr>
          <w:p w14:paraId="79BFCAD0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2+1</w:t>
            </w:r>
          </w:p>
        </w:tc>
      </w:tr>
      <w:tr w:rsidR="00341974" w:rsidRPr="008F686C" w14:paraId="05F6028E" w14:textId="77777777" w:rsidTr="002F114F">
        <w:tc>
          <w:tcPr>
            <w:tcW w:w="2610" w:type="dxa"/>
          </w:tcPr>
          <w:p w14:paraId="6BC2E73B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ECTS:</w:t>
            </w:r>
          </w:p>
        </w:tc>
        <w:tc>
          <w:tcPr>
            <w:tcW w:w="6750" w:type="dxa"/>
            <w:gridSpan w:val="4"/>
          </w:tcPr>
          <w:p w14:paraId="2F2DAA96" w14:textId="77777777" w:rsidR="00341974" w:rsidRPr="008F686C" w:rsidRDefault="008F686C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341974" w:rsidRPr="008F686C" w14:paraId="32CA5DBB" w14:textId="77777777" w:rsidTr="002F114F">
        <w:tc>
          <w:tcPr>
            <w:tcW w:w="2610" w:type="dxa"/>
          </w:tcPr>
          <w:p w14:paraId="49CCAEB1" w14:textId="373AB035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Time / </w:t>
            </w:r>
            <w:r w:rsidR="00E60E6B" w:rsidRPr="008F686C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gridSpan w:val="4"/>
          </w:tcPr>
          <w:p w14:paraId="4C56A37A" w14:textId="77777777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41974" w:rsidRPr="008F686C" w14:paraId="1BC31DC6" w14:textId="77777777" w:rsidTr="002F114F">
        <w:tc>
          <w:tcPr>
            <w:tcW w:w="2610" w:type="dxa"/>
          </w:tcPr>
          <w:p w14:paraId="187AA3AE" w14:textId="2F5962D2" w:rsidR="00341974" w:rsidRPr="008F686C" w:rsidRDefault="00F21146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Professor</w:t>
            </w:r>
            <w:r w:rsidR="00341974" w:rsidRPr="008F686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gridSpan w:val="4"/>
          </w:tcPr>
          <w:p w14:paraId="33E60E66" w14:textId="17F5C2B8" w:rsidR="00341974" w:rsidRPr="008F686C" w:rsidRDefault="00434E9F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Prof. Dr. Gazmend Qorraj, </w:t>
            </w:r>
            <w:r w:rsidR="008F686C">
              <w:rPr>
                <w:rFonts w:ascii="Calibri" w:hAnsi="Calibri" w:cs="Calibri"/>
                <w:b/>
                <w:sz w:val="22"/>
                <w:szCs w:val="22"/>
              </w:rPr>
              <w:t xml:space="preserve">Prof.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Dr. </w:t>
            </w:r>
            <w:r w:rsidR="008F686C">
              <w:rPr>
                <w:rFonts w:ascii="Calibri" w:hAnsi="Calibri" w:cs="Calibri"/>
                <w:b/>
                <w:sz w:val="22"/>
                <w:szCs w:val="22"/>
              </w:rPr>
              <w:t>Adriatik Hoxha</w:t>
            </w:r>
          </w:p>
        </w:tc>
      </w:tr>
      <w:tr w:rsidR="00341974" w:rsidRPr="008F686C" w14:paraId="5C45D6AC" w14:textId="77777777" w:rsidTr="00341974">
        <w:trPr>
          <w:trHeight w:val="215"/>
        </w:trPr>
        <w:tc>
          <w:tcPr>
            <w:tcW w:w="2610" w:type="dxa"/>
          </w:tcPr>
          <w:p w14:paraId="2759E9AE" w14:textId="20A7CD99" w:rsidR="00341974" w:rsidRPr="008F686C" w:rsidRDefault="00341974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Contact </w:t>
            </w:r>
            <w:r w:rsidR="00E60E6B" w:rsidRPr="008F686C">
              <w:rPr>
                <w:rFonts w:ascii="Calibri" w:hAnsi="Calibri" w:cs="Calibri"/>
                <w:b/>
                <w:sz w:val="22"/>
                <w:szCs w:val="22"/>
              </w:rPr>
              <w:t>details</w:t>
            </w: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750" w:type="dxa"/>
            <w:gridSpan w:val="4"/>
          </w:tcPr>
          <w:p w14:paraId="093A3DDE" w14:textId="24722820" w:rsidR="00147605" w:rsidRDefault="00147605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email: </w:t>
            </w:r>
            <w:hyperlink r:id="rId7" w:history="1">
              <w:r w:rsidRPr="00731137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gazmend.qorraj@uni-pr.edu</w:t>
              </w:r>
            </w:hyperlink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cell: +383 44 640 161</w:t>
            </w:r>
          </w:p>
          <w:p w14:paraId="3F668D41" w14:textId="3B3F5F5D" w:rsidR="00341974" w:rsidRPr="008F686C" w:rsidRDefault="00FA3FEB" w:rsidP="0034197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email: </w:t>
            </w:r>
            <w:hyperlink r:id="rId8" w:history="1">
              <w:r w:rsidRPr="00165008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adriatik.hoxha@uni-pr.edu</w:t>
              </w:r>
            </w:hyperlink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cell: +383 44 208 000</w:t>
            </w:r>
          </w:p>
        </w:tc>
      </w:tr>
      <w:tr w:rsidR="00FB050B" w:rsidRPr="008F686C" w14:paraId="5EEB30E0" w14:textId="77777777" w:rsidTr="007B2F81">
        <w:tc>
          <w:tcPr>
            <w:tcW w:w="9360" w:type="dxa"/>
            <w:gridSpan w:val="5"/>
            <w:shd w:val="clear" w:color="auto" w:fill="B8CCE4"/>
          </w:tcPr>
          <w:p w14:paraId="7E495913" w14:textId="77777777" w:rsidR="00FB050B" w:rsidRPr="008F686C" w:rsidRDefault="00FB050B" w:rsidP="00CF116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974" w:rsidRPr="008F686C" w14:paraId="0C06B023" w14:textId="77777777" w:rsidTr="002F114F">
        <w:tc>
          <w:tcPr>
            <w:tcW w:w="2610" w:type="dxa"/>
          </w:tcPr>
          <w:p w14:paraId="7FBEEEB1" w14:textId="77777777" w:rsidR="008F686C" w:rsidRDefault="008F686C" w:rsidP="0034197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D7FD07" w14:textId="77777777" w:rsidR="00341974" w:rsidRPr="008F686C" w:rsidRDefault="00341974" w:rsidP="0034197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Description of the subject</w:t>
            </w:r>
          </w:p>
        </w:tc>
        <w:tc>
          <w:tcPr>
            <w:tcW w:w="6750" w:type="dxa"/>
            <w:gridSpan w:val="4"/>
          </w:tcPr>
          <w:p w14:paraId="2B12D1C8" w14:textId="3309DA71" w:rsidR="008F686C" w:rsidRPr="008F686C" w:rsidRDefault="00C540C0" w:rsidP="00277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The course covers the main economic aspects of the 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historic developments, institutional framework, and 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>current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>development of the European Union and its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policies. It will 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>examine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the </w:t>
            </w:r>
            <w:r w:rsidR="00422D92" w:rsidRPr="00C540C0">
              <w:rPr>
                <w:rFonts w:ascii="Calibri" w:hAnsi="Calibri" w:cs="Calibri"/>
                <w:color w:val="212121"/>
                <w:sz w:val="22"/>
                <w:szCs w:val="22"/>
              </w:rPr>
              <w:t>historical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, 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>institutional, political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>,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and 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economic 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background of </w:t>
            </w:r>
            <w:r w:rsidR="0092642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the 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>European integration, though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>the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D0256F" w:rsidRPr="00C540C0">
              <w:rPr>
                <w:rFonts w:ascii="Calibri" w:hAnsi="Calibri" w:cs="Calibri"/>
                <w:color w:val="212121"/>
                <w:sz w:val="22"/>
                <w:szCs w:val="22"/>
              </w:rPr>
              <w:t>focus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>will remain o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n the economic analysis of the policies and prospects </w:t>
            </w:r>
            <w:r w:rsidR="00422D92">
              <w:rPr>
                <w:rFonts w:ascii="Calibri" w:hAnsi="Calibri" w:cs="Calibri"/>
                <w:color w:val="212121"/>
                <w:sz w:val="22"/>
                <w:szCs w:val="22"/>
              </w:rPr>
              <w:t>of</w:t>
            </w:r>
            <w:r w:rsidRPr="00C540C0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the European Union.</w:t>
            </w:r>
          </w:p>
        </w:tc>
      </w:tr>
      <w:tr w:rsidR="00341974" w:rsidRPr="008F686C" w14:paraId="167E6130" w14:textId="77777777" w:rsidTr="002F114F">
        <w:tc>
          <w:tcPr>
            <w:tcW w:w="2610" w:type="dxa"/>
          </w:tcPr>
          <w:p w14:paraId="779FF751" w14:textId="77777777" w:rsidR="008F686C" w:rsidRDefault="008F686C" w:rsidP="0034197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DFDF01" w14:textId="77777777" w:rsidR="00341974" w:rsidRPr="008F686C" w:rsidRDefault="00341974" w:rsidP="0034197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Objective of the course</w:t>
            </w:r>
          </w:p>
        </w:tc>
        <w:tc>
          <w:tcPr>
            <w:tcW w:w="6750" w:type="dxa"/>
            <w:gridSpan w:val="4"/>
          </w:tcPr>
          <w:p w14:paraId="7D7AF783" w14:textId="18245244" w:rsidR="008F686C" w:rsidRPr="008F686C" w:rsidRDefault="008F686C" w:rsidP="00426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>More specifically th</w:t>
            </w:r>
            <w:r w:rsidR="0092642E">
              <w:rPr>
                <w:rFonts w:ascii="Calibri" w:hAnsi="Calibri" w:cs="Calibri"/>
                <w:color w:val="212121"/>
                <w:sz w:val="22"/>
                <w:szCs w:val="22"/>
              </w:rPr>
              <w:t>is</w:t>
            </w: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course aims are to:</w:t>
            </w:r>
          </w:p>
          <w:p w14:paraId="717647BC" w14:textId="125BCC80" w:rsidR="008F686C" w:rsidRPr="008F686C" w:rsidRDefault="008F686C" w:rsidP="00426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Introduce the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h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istory,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f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acts, and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i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nstitutions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  <w:p w14:paraId="61AAEDE8" w14:textId="4D0E3814" w:rsidR="008F686C" w:rsidRPr="008F686C" w:rsidRDefault="008F686C" w:rsidP="00426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>Examine t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he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m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icroeconomics of European </w:t>
            </w:r>
            <w:r w:rsidR="0092642E">
              <w:rPr>
                <w:rFonts w:ascii="Calibri" w:hAnsi="Calibri" w:cs="Calibri"/>
                <w:color w:val="212121"/>
                <w:sz w:val="22"/>
                <w:szCs w:val="22"/>
              </w:rPr>
              <w:t>i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ntegration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  <w:p w14:paraId="7575CBCC" w14:textId="3A63E2FF" w:rsidR="008F686C" w:rsidRPr="008F686C" w:rsidRDefault="008F686C" w:rsidP="00426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Assess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and analyze the 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EU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m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icro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p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olicies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  <w:p w14:paraId="43184E3D" w14:textId="123FC256" w:rsidR="00341974" w:rsidRPr="008F686C" w:rsidRDefault="008F686C" w:rsidP="004264AF">
            <w:pPr>
              <w:pStyle w:val="HTMLPreformatted"/>
              <w:shd w:val="clear" w:color="auto" w:fill="FFFFFF"/>
              <w:tabs>
                <w:tab w:val="clear" w:pos="6412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C6068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Review </w:t>
            </w:r>
            <w:r w:rsid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the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m</w:t>
            </w:r>
            <w:r w:rsidR="00E20FCD"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acroeconomics</w:t>
            </w:r>
            <w:r w:rsidR="00C60682" w:rsidRPr="00C6068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of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m</w:t>
            </w:r>
            <w:r w:rsidR="00C60682" w:rsidRPr="00C6068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onetary </w:t>
            </w:r>
            <w:r w:rsidR="0092642E">
              <w:rPr>
                <w:rFonts w:ascii="Calibri" w:hAnsi="Calibri" w:cs="Calibri"/>
                <w:color w:val="212121"/>
                <w:sz w:val="22"/>
                <w:szCs w:val="22"/>
              </w:rPr>
              <w:t>i</w:t>
            </w:r>
            <w:r w:rsidR="00C60682"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ntegration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</w:tc>
      </w:tr>
      <w:tr w:rsidR="00341974" w:rsidRPr="008F686C" w14:paraId="2187E50C" w14:textId="77777777" w:rsidTr="002F114F">
        <w:tc>
          <w:tcPr>
            <w:tcW w:w="2610" w:type="dxa"/>
          </w:tcPr>
          <w:p w14:paraId="09633EEA" w14:textId="77777777" w:rsidR="008F686C" w:rsidRDefault="008F686C" w:rsidP="0034197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714DA2" w14:textId="77777777" w:rsidR="00341974" w:rsidRPr="008F686C" w:rsidRDefault="00341974" w:rsidP="0034197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Expected learning outcomes:</w:t>
            </w:r>
          </w:p>
        </w:tc>
        <w:tc>
          <w:tcPr>
            <w:tcW w:w="6750" w:type="dxa"/>
            <w:gridSpan w:val="4"/>
          </w:tcPr>
          <w:p w14:paraId="78BC0349" w14:textId="77777777" w:rsidR="008F686C" w:rsidRPr="008F686C" w:rsidRDefault="008F686C" w:rsidP="00E20FCD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>At the end of the course, students should be able to:</w:t>
            </w:r>
          </w:p>
          <w:p w14:paraId="5FD6F3A4" w14:textId="0B283CEF" w:rsidR="008F686C" w:rsidRPr="008F686C" w:rsidRDefault="008F686C" w:rsidP="00E20FCD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E20FCD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Understand the historical 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and institutional </w:t>
            </w:r>
            <w:r w:rsidR="00E20FCD">
              <w:rPr>
                <w:rFonts w:ascii="Calibri" w:hAnsi="Calibri" w:cs="Calibri"/>
                <w:color w:val="212121"/>
                <w:sz w:val="22"/>
                <w:szCs w:val="22"/>
              </w:rPr>
              <w:t>aspect</w:t>
            </w:r>
            <w:r w:rsidR="00D0256F">
              <w:rPr>
                <w:rFonts w:ascii="Calibri" w:hAnsi="Calibri" w:cs="Calibri"/>
                <w:color w:val="212121"/>
                <w:sz w:val="22"/>
                <w:szCs w:val="22"/>
              </w:rPr>
              <w:t>s</w:t>
            </w:r>
            <w:r w:rsidR="00E20FCD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of EU.</w:t>
            </w:r>
          </w:p>
          <w:p w14:paraId="544DB89D" w14:textId="51399C28" w:rsidR="008F686C" w:rsidRPr="008F686C" w:rsidRDefault="008F686C" w:rsidP="00E20FCD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Understand the </w:t>
            </w:r>
            <w:r w:rsidR="00E20FCD">
              <w:rPr>
                <w:rFonts w:ascii="Calibri" w:hAnsi="Calibri" w:cs="Calibri"/>
                <w:color w:val="212121"/>
                <w:sz w:val="22"/>
                <w:szCs w:val="22"/>
              </w:rPr>
              <w:t>microeconomic tools and perform respective analysis.</w:t>
            </w:r>
          </w:p>
          <w:p w14:paraId="44B0374D" w14:textId="0A2EA0B5" w:rsidR="008F686C" w:rsidRPr="008F686C" w:rsidRDefault="008F686C" w:rsidP="00E20FCD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7328"/>
              </w:tabs>
              <w:ind w:right="7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</w:t>
            </w:r>
            <w:r w:rsidR="00E20FCD"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Understand the </w:t>
            </w:r>
            <w:r w:rsidR="00E20FCD">
              <w:rPr>
                <w:rFonts w:ascii="Calibri" w:hAnsi="Calibri" w:cs="Calibri"/>
                <w:color w:val="212121"/>
                <w:sz w:val="22"/>
                <w:szCs w:val="22"/>
              </w:rPr>
              <w:t>functions of the EU micro-policies</w:t>
            </w:r>
            <w:r w:rsidR="00523BC6">
              <w:rPr>
                <w:rFonts w:ascii="Calibri" w:hAnsi="Calibri" w:cs="Calibri"/>
                <w:color w:val="212121"/>
                <w:sz w:val="22"/>
                <w:szCs w:val="22"/>
              </w:rPr>
              <w:t>.</w:t>
            </w:r>
          </w:p>
          <w:p w14:paraId="37465DC3" w14:textId="39D7F5DA" w:rsidR="00341974" w:rsidRPr="008F686C" w:rsidRDefault="008F686C" w:rsidP="00E20FCD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left" w:pos="162"/>
                <w:tab w:val="left" w:pos="6408"/>
              </w:tabs>
              <w:ind w:right="162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• Understand </w:t>
            </w:r>
            <w:r w:rsidR="00E20FCD">
              <w:rPr>
                <w:rFonts w:ascii="Calibri" w:hAnsi="Calibri" w:cs="Calibri"/>
                <w:color w:val="212121"/>
                <w:sz w:val="22"/>
                <w:szCs w:val="22"/>
              </w:rPr>
              <w:t>the rationale and functioning of monetary integration.</w:t>
            </w:r>
          </w:p>
        </w:tc>
      </w:tr>
      <w:tr w:rsidR="00C76E78" w:rsidRPr="008F686C" w14:paraId="1BE332D4" w14:textId="77777777" w:rsidTr="007B2F81">
        <w:tc>
          <w:tcPr>
            <w:tcW w:w="9360" w:type="dxa"/>
            <w:gridSpan w:val="5"/>
            <w:shd w:val="clear" w:color="auto" w:fill="B8CCE4"/>
          </w:tcPr>
          <w:p w14:paraId="756AC3B7" w14:textId="77777777" w:rsidR="00C76E78" w:rsidRPr="008F686C" w:rsidRDefault="00FA3FEB" w:rsidP="00C76E78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Contribution on the student load</w:t>
            </w:r>
          </w:p>
        </w:tc>
      </w:tr>
      <w:tr w:rsidR="00441AC0" w:rsidRPr="008F686C" w14:paraId="4C55ED97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6219F7E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8F686C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tivity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2F0929F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Hours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2359C53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Day/week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8CCE4"/>
          </w:tcPr>
          <w:p w14:paraId="3DBB0FB2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  <w:tr w:rsidR="00441AC0" w:rsidRPr="008F686C" w14:paraId="0B5BFF2E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88901A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Lectures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CEB8B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512E2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</w:t>
            </w:r>
            <w:r w:rsidR="008F686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74A2246A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441AC0" w:rsidRPr="008F686C" w14:paraId="45876BCC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359472C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Theoretical / laboratory exercises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C5D6A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8A411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156B040F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441AC0" w:rsidRPr="008F686C" w14:paraId="0BE61B1E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73F3B5C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Practical work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538D9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2C38F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19451FEA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441AC0" w:rsidRPr="008F686C" w14:paraId="79C06C49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AB0FD7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Contacts with the teacher / consultations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B5896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25626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7A3FB99B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441AC0" w:rsidRPr="008F686C" w14:paraId="4E907882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072BD2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Field exercises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90882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82850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3E6F4AAC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41AC0" w:rsidRPr="008F686C" w14:paraId="53EF531A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6BECC5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Colloquium, seminars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F75E" w14:textId="77777777" w:rsidR="00441AC0" w:rsidRPr="008F686C" w:rsidRDefault="00FA3FEB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C94A8" w14:textId="77777777" w:rsidR="00441AC0" w:rsidRPr="008F686C" w:rsidRDefault="00FA3FEB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404FE41F" w14:textId="77777777" w:rsidR="00441AC0" w:rsidRPr="008F686C" w:rsidRDefault="00FA3FEB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41AC0" w:rsidRPr="008F686C" w14:paraId="689EFC13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F53DE1F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Homework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CFE49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42B1C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51669CEC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441AC0" w:rsidRPr="008F686C" w14:paraId="631E0E80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63945C9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Student study time (in library or at home)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7048A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5F7C7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72EF585E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441AC0" w:rsidRPr="008F686C" w14:paraId="6552B381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1F2430" w14:textId="77777777" w:rsidR="00441AC0" w:rsidRPr="008F686C" w:rsidRDefault="00441AC0" w:rsidP="00441AC0">
            <w:pPr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Final exam preparation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BF731" w14:textId="77777777" w:rsidR="00441AC0" w:rsidRPr="008F686C" w:rsidRDefault="00FA3FEB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6DDA8" w14:textId="77777777" w:rsidR="00441AC0" w:rsidRPr="008F686C" w:rsidRDefault="008F686C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14:paraId="1C723B1E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686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41AC0" w:rsidRPr="008F686C" w14:paraId="59491A50" w14:textId="77777777" w:rsidTr="00441AC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0BD5240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093AC9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21338B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B8CCE4"/>
          </w:tcPr>
          <w:p w14:paraId="37C3455F" w14:textId="77777777" w:rsidR="00441AC0" w:rsidRPr="008F686C" w:rsidRDefault="00441AC0" w:rsidP="00441A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A3FEB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</w:tr>
      <w:tr w:rsidR="00441AC0" w:rsidRPr="008F686C" w14:paraId="7AD042F7" w14:textId="77777777" w:rsidTr="002F114F">
        <w:tc>
          <w:tcPr>
            <w:tcW w:w="2610" w:type="dxa"/>
          </w:tcPr>
          <w:p w14:paraId="64834FDE" w14:textId="77777777" w:rsidR="00441AC0" w:rsidRPr="008F686C" w:rsidRDefault="00441AC0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9BEB91" w14:textId="77777777" w:rsidR="00441AC0" w:rsidRPr="008F686C" w:rsidRDefault="00441AC0" w:rsidP="00441AC0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Teaching Methodology:</w:t>
            </w:r>
          </w:p>
        </w:tc>
        <w:tc>
          <w:tcPr>
            <w:tcW w:w="6750" w:type="dxa"/>
            <w:gridSpan w:val="4"/>
          </w:tcPr>
          <w:p w14:paraId="24A8CD14" w14:textId="68319873" w:rsidR="00441AC0" w:rsidRPr="008F686C" w:rsidRDefault="00FA3FEB" w:rsidP="00FA3FEB">
            <w:pPr>
              <w:pStyle w:val="level1"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A3FEB">
              <w:rPr>
                <w:rFonts w:ascii="Calibri" w:hAnsi="Calibri" w:cs="Calibri"/>
                <w:sz w:val="22"/>
                <w:szCs w:val="22"/>
              </w:rPr>
              <w:t>This course will be delivered via a combination of the course material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Books, statistical </w:t>
            </w:r>
            <w:r w:rsidR="00E20FCD">
              <w:rPr>
                <w:rFonts w:ascii="Calibri" w:hAnsi="Calibri" w:cs="Calibri"/>
                <w:sz w:val="22"/>
                <w:szCs w:val="22"/>
              </w:rPr>
              <w:t xml:space="preserve">analysis with Microsoft Excel, 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FA3FEB">
              <w:rPr>
                <w:rFonts w:ascii="Calibri" w:hAnsi="Calibri" w:cs="Calibri"/>
                <w:sz w:val="22"/>
                <w:szCs w:val="22"/>
              </w:rPr>
              <w:t>ecture slides, practical lectures, tutorials assignments and solutions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41AC0" w:rsidRPr="008F686C" w14:paraId="076ADC66" w14:textId="77777777" w:rsidTr="002F114F">
        <w:tc>
          <w:tcPr>
            <w:tcW w:w="2610" w:type="dxa"/>
          </w:tcPr>
          <w:p w14:paraId="22A6019B" w14:textId="77777777" w:rsidR="00441AC0" w:rsidRPr="008F686C" w:rsidRDefault="00441AC0" w:rsidP="00441AC0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986528" w14:textId="77777777" w:rsidR="00441AC0" w:rsidRPr="008F686C" w:rsidRDefault="00441AC0" w:rsidP="00441AC0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6DA52B" w14:textId="77777777" w:rsidR="00441AC0" w:rsidRPr="008F686C" w:rsidRDefault="00441AC0" w:rsidP="00FA3FEB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Methods of assessment:</w:t>
            </w:r>
          </w:p>
        </w:tc>
        <w:tc>
          <w:tcPr>
            <w:tcW w:w="6750" w:type="dxa"/>
            <w:gridSpan w:val="4"/>
          </w:tcPr>
          <w:p w14:paraId="53664334" w14:textId="75D49EB1" w:rsidR="00441AC0" w:rsidRDefault="00FA3FEB" w:rsidP="00441AC0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Participation 10%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3D1381" w:rsidRPr="00FA3FEB">
              <w:rPr>
                <w:rFonts w:ascii="Calibri" w:hAnsi="Calibri" w:cs="Calibri"/>
                <w:iCs/>
                <w:sz w:val="22"/>
                <w:szCs w:val="22"/>
              </w:rPr>
              <w:t>of the overall mark.</w:t>
            </w:r>
          </w:p>
          <w:p w14:paraId="152D00E7" w14:textId="31864A2F" w:rsidR="00FA3FEB" w:rsidRPr="00FA3FEB" w:rsidRDefault="00FA3FEB" w:rsidP="00441AC0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Class activity 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%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3D1381" w:rsidRPr="00FA3FEB">
              <w:rPr>
                <w:rFonts w:ascii="Calibri" w:hAnsi="Calibri" w:cs="Calibri"/>
                <w:iCs/>
                <w:sz w:val="22"/>
                <w:szCs w:val="22"/>
              </w:rPr>
              <w:t>of the overall mark.</w:t>
            </w:r>
          </w:p>
          <w:p w14:paraId="7A885DAE" w14:textId="432B9283" w:rsidR="00FA3FEB" w:rsidRPr="00FA3FEB" w:rsidRDefault="00FA3FEB" w:rsidP="00FA3FEB">
            <w:pPr>
              <w:pStyle w:val="NoSpacing"/>
              <w:rPr>
                <w:rFonts w:ascii="Calibri" w:hAnsi="Calibri" w:cs="Calibri"/>
                <w:iCs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• 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>E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mpirical project, worth 2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% of the overall mark.</w:t>
            </w:r>
          </w:p>
          <w:p w14:paraId="5C7ECC27" w14:textId="35BAFE54" w:rsidR="007A4DA8" w:rsidRPr="008F686C" w:rsidRDefault="00FA3FEB" w:rsidP="00FA3FEB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• </w:t>
            </w:r>
            <w:r w:rsidR="003D1381">
              <w:rPr>
                <w:rFonts w:ascii="Calibri" w:hAnsi="Calibri" w:cs="Calibri"/>
                <w:iCs/>
                <w:sz w:val="22"/>
                <w:szCs w:val="22"/>
              </w:rPr>
              <w:t>Final exam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 xml:space="preserve">, worth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5</w:t>
            </w:r>
            <w:r w:rsidRPr="00FA3FEB">
              <w:rPr>
                <w:rFonts w:ascii="Calibri" w:hAnsi="Calibri" w:cs="Calibri"/>
                <w:iCs/>
                <w:sz w:val="22"/>
                <w:szCs w:val="22"/>
              </w:rPr>
              <w:t>0% of the overall mark.</w:t>
            </w:r>
          </w:p>
        </w:tc>
      </w:tr>
      <w:tr w:rsidR="00441AC0" w:rsidRPr="008F686C" w14:paraId="75153173" w14:textId="77777777" w:rsidTr="007B2F81">
        <w:tc>
          <w:tcPr>
            <w:tcW w:w="9360" w:type="dxa"/>
            <w:gridSpan w:val="5"/>
            <w:shd w:val="clear" w:color="auto" w:fill="B8CCE4"/>
          </w:tcPr>
          <w:p w14:paraId="2995DB92" w14:textId="77777777" w:rsidR="00441AC0" w:rsidRPr="008F686C" w:rsidRDefault="00441AC0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Literature:</w:t>
            </w:r>
          </w:p>
        </w:tc>
      </w:tr>
      <w:tr w:rsidR="00550A18" w:rsidRPr="008F686C" w14:paraId="584BE0D2" w14:textId="77777777" w:rsidTr="002F114F">
        <w:tc>
          <w:tcPr>
            <w:tcW w:w="2610" w:type="dxa"/>
          </w:tcPr>
          <w:p w14:paraId="4916F892" w14:textId="77777777" w:rsidR="00550A18" w:rsidRPr="008F686C" w:rsidRDefault="00550A18" w:rsidP="00550A1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Basic literature:  </w:t>
            </w:r>
          </w:p>
        </w:tc>
        <w:tc>
          <w:tcPr>
            <w:tcW w:w="6750" w:type="dxa"/>
            <w:gridSpan w:val="4"/>
          </w:tcPr>
          <w:p w14:paraId="58693CBC" w14:textId="5F8F9924" w:rsidR="00550A18" w:rsidRPr="008F686C" w:rsidRDefault="0013452C" w:rsidP="00CC0521">
            <w:pPr>
              <w:pStyle w:val="level1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360"/>
                <w:tab w:val="clear" w:pos="1080"/>
                <w:tab w:val="clear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13452C">
              <w:rPr>
                <w:rFonts w:ascii="Calibri" w:hAnsi="Calibri" w:cs="Calibri"/>
                <w:sz w:val="22"/>
                <w:szCs w:val="22"/>
              </w:rPr>
              <w:t>Baldwin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R. </w:t>
            </w:r>
            <w:r w:rsidRPr="0013452C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proofErr w:type="spellStart"/>
            <w:r w:rsidRPr="0013452C">
              <w:rPr>
                <w:rFonts w:ascii="Calibri" w:hAnsi="Calibri" w:cs="Calibri"/>
                <w:sz w:val="22"/>
                <w:szCs w:val="22"/>
              </w:rPr>
              <w:t>Wyplosz</w:t>
            </w:r>
            <w:proofErr w:type="spellEnd"/>
            <w:r w:rsidRPr="0013452C">
              <w:rPr>
                <w:rFonts w:ascii="Calibri" w:hAnsi="Calibri" w:cs="Calibri"/>
                <w:sz w:val="22"/>
                <w:szCs w:val="22"/>
              </w:rPr>
              <w:t xml:space="preserve">, C.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(2015). </w:t>
            </w:r>
            <w:r w:rsidRPr="0013452C">
              <w:rPr>
                <w:rFonts w:ascii="Calibri" w:hAnsi="Calibri" w:cs="Calibri"/>
                <w:sz w:val="22"/>
                <w:szCs w:val="22"/>
              </w:rPr>
              <w:t>The Economics of European Integration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13452C">
              <w:rPr>
                <w:rFonts w:ascii="Calibri" w:hAnsi="Calibri" w:cs="Calibri"/>
                <w:sz w:val="22"/>
                <w:szCs w:val="22"/>
              </w:rPr>
              <w:t>5th edition; McGraw Hill,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452C">
              <w:rPr>
                <w:rFonts w:ascii="Calibri" w:hAnsi="Calibri" w:cs="Calibri"/>
                <w:sz w:val="22"/>
                <w:szCs w:val="22"/>
              </w:rPr>
              <w:t>2015.</w:t>
            </w:r>
          </w:p>
        </w:tc>
      </w:tr>
      <w:tr w:rsidR="00441AC0" w:rsidRPr="008F686C" w14:paraId="291A161A" w14:textId="77777777" w:rsidTr="002F114F">
        <w:tc>
          <w:tcPr>
            <w:tcW w:w="2610" w:type="dxa"/>
          </w:tcPr>
          <w:p w14:paraId="71FCC109" w14:textId="77777777" w:rsidR="00441AC0" w:rsidRPr="008F686C" w:rsidRDefault="00441AC0" w:rsidP="00441AC0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 xml:space="preserve">Additional literature:  </w:t>
            </w:r>
          </w:p>
        </w:tc>
        <w:tc>
          <w:tcPr>
            <w:tcW w:w="6750" w:type="dxa"/>
            <w:gridSpan w:val="4"/>
          </w:tcPr>
          <w:p w14:paraId="4D2C9D0D" w14:textId="558E093D" w:rsidR="0013452C" w:rsidRPr="0013452C" w:rsidRDefault="0013452C" w:rsidP="00C4468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13452C">
              <w:rPr>
                <w:rFonts w:ascii="Calibri" w:hAnsi="Calibri" w:cs="Calibri"/>
                <w:sz w:val="22"/>
                <w:szCs w:val="22"/>
              </w:rPr>
              <w:t xml:space="preserve">Badinger,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H. and </w:t>
            </w:r>
            <w:r w:rsidRPr="0013452C">
              <w:rPr>
                <w:rFonts w:ascii="Calibri" w:hAnsi="Calibri" w:cs="Calibri"/>
                <w:sz w:val="22"/>
                <w:szCs w:val="22"/>
              </w:rPr>
              <w:t>Nitsch</w:t>
            </w:r>
            <w:r>
              <w:rPr>
                <w:rFonts w:ascii="Calibri" w:hAnsi="Calibri" w:cs="Calibri"/>
                <w:sz w:val="22"/>
                <w:szCs w:val="22"/>
              </w:rPr>
              <w:t>, V. (2019).</w:t>
            </w:r>
            <w:r w:rsidRPr="0013452C">
              <w:rPr>
                <w:rFonts w:ascii="Calibri" w:hAnsi="Calibri" w:cs="Calibri"/>
                <w:sz w:val="22"/>
                <w:szCs w:val="22"/>
              </w:rPr>
              <w:t xml:space="preserve"> Routledge Handbook of the Economics of European Integration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44689">
              <w:rPr>
                <w:rFonts w:ascii="Calibri" w:hAnsi="Calibri" w:cs="Calibri"/>
                <w:sz w:val="22"/>
                <w:szCs w:val="22"/>
              </w:rPr>
              <w:t>I</w:t>
            </w:r>
            <w:r w:rsidRPr="0013452C">
              <w:rPr>
                <w:rFonts w:ascii="Calibri" w:hAnsi="Calibri" w:cs="Calibri"/>
                <w:sz w:val="22"/>
                <w:szCs w:val="22"/>
              </w:rPr>
              <w:t>SBN 9780367869489</w:t>
            </w:r>
          </w:p>
          <w:p w14:paraId="7CBA1F01" w14:textId="585F0CA4" w:rsidR="000F310F" w:rsidRDefault="0013452C" w:rsidP="00C4468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13452C">
              <w:rPr>
                <w:rFonts w:ascii="Calibri" w:hAnsi="Calibri" w:cs="Calibri"/>
                <w:sz w:val="22"/>
                <w:szCs w:val="22"/>
              </w:rPr>
              <w:t>Published December 12, 2019</w:t>
            </w:r>
            <w:r w:rsidR="00C44689">
              <w:rPr>
                <w:rFonts w:ascii="Calibri" w:hAnsi="Calibri" w:cs="Calibri"/>
                <w:sz w:val="22"/>
                <w:szCs w:val="22"/>
              </w:rPr>
              <w:t>.</w:t>
            </w:r>
            <w:r w:rsidRPr="0013452C">
              <w:rPr>
                <w:rFonts w:ascii="Calibri" w:hAnsi="Calibri" w:cs="Calibri"/>
                <w:sz w:val="22"/>
                <w:szCs w:val="22"/>
              </w:rPr>
              <w:t xml:space="preserve"> Routledge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88673EE" w14:textId="54CEA74F" w:rsidR="0013452C" w:rsidRPr="008F686C" w:rsidRDefault="00C44689" w:rsidP="00C4468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Molle, W. (2021). </w:t>
            </w:r>
            <w:r w:rsidRPr="00C44689">
              <w:rPr>
                <w:rFonts w:ascii="Calibri" w:hAnsi="Calibri" w:cs="Calibri"/>
                <w:sz w:val="22"/>
                <w:szCs w:val="22"/>
              </w:rPr>
              <w:t>The Economics of European Integration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C44689">
              <w:rPr>
                <w:rFonts w:ascii="Calibri" w:hAnsi="Calibri" w:cs="Calibri"/>
                <w:sz w:val="22"/>
                <w:szCs w:val="22"/>
              </w:rPr>
              <w:t>Theory, Practice, Policy</w:t>
            </w:r>
            <w:r>
              <w:rPr>
                <w:rFonts w:ascii="Calibri" w:hAnsi="Calibri" w:cs="Calibri"/>
                <w:sz w:val="22"/>
                <w:szCs w:val="22"/>
              </w:rPr>
              <w:t>. I</w:t>
            </w:r>
            <w:r w:rsidRPr="00C44689">
              <w:rPr>
                <w:rFonts w:ascii="Calibri" w:hAnsi="Calibri" w:cs="Calibri"/>
                <w:sz w:val="22"/>
                <w:szCs w:val="22"/>
              </w:rPr>
              <w:t>SBN 9780367249427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C44689">
              <w:rPr>
                <w:rFonts w:ascii="Calibri" w:hAnsi="Calibri" w:cs="Calibri"/>
                <w:sz w:val="22"/>
                <w:szCs w:val="22"/>
              </w:rPr>
              <w:t>December 10, 2021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C44689">
              <w:rPr>
                <w:rFonts w:ascii="Calibri" w:hAnsi="Calibri" w:cs="Calibri"/>
                <w:sz w:val="22"/>
                <w:szCs w:val="22"/>
              </w:rPr>
              <w:t xml:space="preserve"> Routledge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8CEB677" w14:textId="77777777" w:rsidR="0099263F" w:rsidRPr="008F686C" w:rsidRDefault="0099263F" w:rsidP="0099263F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="-342" w:tblpY="4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750"/>
      </w:tblGrid>
      <w:tr w:rsidR="00D67209" w:rsidRPr="008F686C" w14:paraId="35556C24" w14:textId="77777777" w:rsidTr="00BD3FA3">
        <w:tc>
          <w:tcPr>
            <w:tcW w:w="9378" w:type="dxa"/>
            <w:gridSpan w:val="2"/>
            <w:shd w:val="clear" w:color="auto" w:fill="B8CCE4"/>
          </w:tcPr>
          <w:p w14:paraId="5D3AD6F5" w14:textId="77777777" w:rsidR="00D15D53" w:rsidRPr="008F686C" w:rsidRDefault="00441AC0" w:rsidP="007B64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Described Learning Plan:</w:t>
            </w:r>
          </w:p>
        </w:tc>
      </w:tr>
      <w:tr w:rsidR="00441AC0" w:rsidRPr="008F686C" w14:paraId="2C07051A" w14:textId="77777777" w:rsidTr="00C44689">
        <w:tc>
          <w:tcPr>
            <w:tcW w:w="2628" w:type="dxa"/>
            <w:shd w:val="clear" w:color="auto" w:fill="auto"/>
          </w:tcPr>
          <w:p w14:paraId="29227393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Week</w:t>
            </w:r>
          </w:p>
        </w:tc>
        <w:tc>
          <w:tcPr>
            <w:tcW w:w="6750" w:type="dxa"/>
            <w:tcBorders>
              <w:bottom w:val="nil"/>
            </w:tcBorders>
            <w:shd w:val="clear" w:color="auto" w:fill="auto"/>
          </w:tcPr>
          <w:p w14:paraId="29B8A7B8" w14:textId="77777777" w:rsidR="00441AC0" w:rsidRPr="008F686C" w:rsidRDefault="00441AC0" w:rsidP="00441AC0">
            <w:pPr>
              <w:pStyle w:val="HTMLPreformatted"/>
              <w:shd w:val="clear" w:color="auto" w:fill="FFFFFF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Lecture to be held</w:t>
            </w:r>
          </w:p>
        </w:tc>
      </w:tr>
      <w:tr w:rsidR="00441AC0" w:rsidRPr="008F686C" w14:paraId="4420B7BB" w14:textId="77777777" w:rsidTr="007B2DB4">
        <w:tc>
          <w:tcPr>
            <w:tcW w:w="2628" w:type="dxa"/>
          </w:tcPr>
          <w:p w14:paraId="245B8652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First week:</w:t>
            </w:r>
          </w:p>
        </w:tc>
        <w:tc>
          <w:tcPr>
            <w:tcW w:w="6750" w:type="dxa"/>
          </w:tcPr>
          <w:p w14:paraId="663CC364" w14:textId="3CC917C7" w:rsidR="00441AC0" w:rsidRPr="008F686C" w:rsidRDefault="00FA3FEB" w:rsidP="00441AC0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Presentation of the course plan, </w:t>
            </w:r>
            <w:r w:rsidR="00A4331F">
              <w:rPr>
                <w:rFonts w:ascii="Calibri" w:hAnsi="Calibri" w:cs="Calibri"/>
                <w:color w:val="212121"/>
                <w:sz w:val="22"/>
                <w:szCs w:val="22"/>
              </w:rPr>
              <w:t>content,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and </w:t>
            </w:r>
            <w:r w:rsidR="0017365D">
              <w:rPr>
                <w:rFonts w:ascii="Calibri" w:hAnsi="Calibri" w:cs="Calibri"/>
                <w:color w:val="212121"/>
                <w:sz w:val="22"/>
                <w:szCs w:val="22"/>
              </w:rPr>
              <w:t>h</w:t>
            </w:r>
            <w:r w:rsidR="00277008"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istory</w:t>
            </w:r>
            <w:r w:rsidR="0092642E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of EU</w:t>
            </w:r>
          </w:p>
        </w:tc>
      </w:tr>
      <w:tr w:rsidR="00441AC0" w:rsidRPr="008F686C" w14:paraId="41936208" w14:textId="77777777" w:rsidTr="007B2DB4">
        <w:tc>
          <w:tcPr>
            <w:tcW w:w="2628" w:type="dxa"/>
          </w:tcPr>
          <w:p w14:paraId="36356A0F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Second week</w:t>
            </w:r>
          </w:p>
        </w:tc>
        <w:tc>
          <w:tcPr>
            <w:tcW w:w="6750" w:type="dxa"/>
          </w:tcPr>
          <w:p w14:paraId="3A329538" w14:textId="52BF0929" w:rsidR="00441AC0" w:rsidRPr="008F686C" w:rsidRDefault="00277008" w:rsidP="00441AC0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Facts, law, institutions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,</w:t>
            </w:r>
            <w:r w:rsidRPr="0027700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and the budget</w:t>
            </w:r>
          </w:p>
        </w:tc>
      </w:tr>
      <w:tr w:rsidR="00441AC0" w:rsidRPr="008F686C" w14:paraId="657BB739" w14:textId="77777777" w:rsidTr="007B2DB4">
        <w:tc>
          <w:tcPr>
            <w:tcW w:w="2628" w:type="dxa"/>
          </w:tcPr>
          <w:p w14:paraId="4E249AD5" w14:textId="77777777" w:rsidR="00441AC0" w:rsidRPr="008F686C" w:rsidRDefault="00441AC0" w:rsidP="00441A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sz w:val="22"/>
                <w:szCs w:val="22"/>
              </w:rPr>
              <w:t>Third week:</w:t>
            </w:r>
          </w:p>
        </w:tc>
        <w:tc>
          <w:tcPr>
            <w:tcW w:w="6750" w:type="dxa"/>
          </w:tcPr>
          <w:p w14:paraId="6D54B39E" w14:textId="2FCC7C08" w:rsidR="00441AC0" w:rsidRPr="008F686C" w:rsidRDefault="00277008" w:rsidP="00441AC0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Decision making</w:t>
            </w:r>
          </w:p>
        </w:tc>
      </w:tr>
      <w:tr w:rsidR="009F47B5" w:rsidRPr="008F686C" w14:paraId="5999DD7C" w14:textId="77777777" w:rsidTr="007B2DB4">
        <w:tc>
          <w:tcPr>
            <w:tcW w:w="2628" w:type="dxa"/>
          </w:tcPr>
          <w:p w14:paraId="5630E53D" w14:textId="77777777" w:rsidR="009F47B5" w:rsidRPr="008F686C" w:rsidRDefault="009F47B5" w:rsidP="009F47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Fourth week:</w:t>
            </w:r>
          </w:p>
        </w:tc>
        <w:tc>
          <w:tcPr>
            <w:tcW w:w="6750" w:type="dxa"/>
          </w:tcPr>
          <w:p w14:paraId="2CD745B4" w14:textId="700A7838" w:rsidR="009F47B5" w:rsidRPr="008F686C" w:rsidRDefault="00277008" w:rsidP="00277008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Essential microeconomic tools and tariff analysis</w:t>
            </w:r>
          </w:p>
        </w:tc>
      </w:tr>
      <w:tr w:rsidR="009F47B5" w:rsidRPr="008F686C" w14:paraId="08499695" w14:textId="77777777" w:rsidTr="007B2DB4">
        <w:tc>
          <w:tcPr>
            <w:tcW w:w="2628" w:type="dxa"/>
          </w:tcPr>
          <w:p w14:paraId="7ED2C8BE" w14:textId="77777777" w:rsidR="009F47B5" w:rsidRPr="008F686C" w:rsidRDefault="009F47B5" w:rsidP="009F47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Fifth week:</w:t>
            </w:r>
          </w:p>
        </w:tc>
        <w:tc>
          <w:tcPr>
            <w:tcW w:w="6750" w:type="dxa"/>
          </w:tcPr>
          <w:p w14:paraId="776C1409" w14:textId="7B92DDFE" w:rsidR="009F47B5" w:rsidRPr="008F686C" w:rsidRDefault="00277008" w:rsidP="00277008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The essential economics of preferential liberalization</w:t>
            </w:r>
          </w:p>
        </w:tc>
      </w:tr>
      <w:tr w:rsidR="009F47B5" w:rsidRPr="008F686C" w14:paraId="38386E33" w14:textId="77777777" w:rsidTr="007B2DB4">
        <w:tc>
          <w:tcPr>
            <w:tcW w:w="2628" w:type="dxa"/>
          </w:tcPr>
          <w:p w14:paraId="0A22889B" w14:textId="77777777" w:rsidR="009F47B5" w:rsidRPr="008F686C" w:rsidRDefault="009F47B5" w:rsidP="009F47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Week six:</w:t>
            </w:r>
          </w:p>
        </w:tc>
        <w:tc>
          <w:tcPr>
            <w:tcW w:w="6750" w:type="dxa"/>
          </w:tcPr>
          <w:p w14:paraId="69DF57CE" w14:textId="17942D7F" w:rsidR="009F47B5" w:rsidRPr="008F686C" w:rsidRDefault="00277008" w:rsidP="00277008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277008">
              <w:rPr>
                <w:rFonts w:ascii="Calibri" w:hAnsi="Calibri" w:cs="Calibri"/>
                <w:color w:val="212121"/>
                <w:sz w:val="22"/>
                <w:szCs w:val="22"/>
              </w:rPr>
              <w:t>Market size and scale effects</w:t>
            </w:r>
          </w:p>
        </w:tc>
      </w:tr>
      <w:tr w:rsidR="009F47B5" w:rsidRPr="008F686C" w14:paraId="13C3EDC3" w14:textId="77777777" w:rsidTr="007B2DB4">
        <w:tc>
          <w:tcPr>
            <w:tcW w:w="2628" w:type="dxa"/>
          </w:tcPr>
          <w:p w14:paraId="67E877BC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Week Seven:</w:t>
            </w:r>
          </w:p>
        </w:tc>
        <w:tc>
          <w:tcPr>
            <w:tcW w:w="6750" w:type="dxa"/>
          </w:tcPr>
          <w:p w14:paraId="5C466600" w14:textId="588B258A" w:rsidR="009F47B5" w:rsidRPr="008F686C" w:rsidRDefault="00C60682" w:rsidP="00C60682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Growth effects and factor market integration</w:t>
            </w:r>
          </w:p>
        </w:tc>
      </w:tr>
      <w:tr w:rsidR="009F47B5" w:rsidRPr="008F686C" w14:paraId="74E27AD1" w14:textId="77777777" w:rsidTr="007B2DB4">
        <w:tc>
          <w:tcPr>
            <w:tcW w:w="2628" w:type="dxa"/>
          </w:tcPr>
          <w:p w14:paraId="5E850A8F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Eighth week:</w:t>
            </w:r>
          </w:p>
        </w:tc>
        <w:tc>
          <w:tcPr>
            <w:tcW w:w="6750" w:type="dxa"/>
          </w:tcPr>
          <w:p w14:paraId="30F2FD0C" w14:textId="6D2C0DF3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Economic integration, </w:t>
            </w:r>
            <w:proofErr w:type="spellStart"/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labour</w:t>
            </w:r>
            <w:proofErr w:type="spellEnd"/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markets and migration</w:t>
            </w:r>
          </w:p>
        </w:tc>
      </w:tr>
      <w:tr w:rsidR="009F47B5" w:rsidRPr="008F686C" w14:paraId="08736830" w14:textId="77777777" w:rsidTr="007B2DB4">
        <w:tc>
          <w:tcPr>
            <w:tcW w:w="2628" w:type="dxa"/>
          </w:tcPr>
          <w:p w14:paraId="2F8E8C61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Ninth week:</w:t>
            </w:r>
          </w:p>
        </w:tc>
        <w:tc>
          <w:tcPr>
            <w:tcW w:w="6750" w:type="dxa"/>
          </w:tcPr>
          <w:p w14:paraId="0AAC20CF" w14:textId="03D5C51F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The common agricultural policy</w:t>
            </w:r>
          </w:p>
        </w:tc>
      </w:tr>
      <w:tr w:rsidR="009F47B5" w:rsidRPr="008F686C" w14:paraId="7B00F8F3" w14:textId="77777777" w:rsidTr="007B2DB4">
        <w:tc>
          <w:tcPr>
            <w:tcW w:w="2628" w:type="dxa"/>
          </w:tcPr>
          <w:p w14:paraId="4E70BBC0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Tenth Week:</w:t>
            </w:r>
          </w:p>
        </w:tc>
        <w:tc>
          <w:tcPr>
            <w:tcW w:w="6750" w:type="dxa"/>
          </w:tcPr>
          <w:p w14:paraId="55DF8512" w14:textId="6001A30F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Location effects, economic geography and regional policy</w:t>
            </w:r>
          </w:p>
        </w:tc>
      </w:tr>
      <w:tr w:rsidR="009F47B5" w:rsidRPr="008F686C" w14:paraId="2AD160EE" w14:textId="77777777" w:rsidTr="007B2DB4">
        <w:tc>
          <w:tcPr>
            <w:tcW w:w="2628" w:type="dxa"/>
          </w:tcPr>
          <w:p w14:paraId="6F5B7451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Week Eleven:</w:t>
            </w:r>
          </w:p>
        </w:tc>
        <w:tc>
          <w:tcPr>
            <w:tcW w:w="6750" w:type="dxa"/>
          </w:tcPr>
          <w:p w14:paraId="228A32F3" w14:textId="25019100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EU competition and state aid policy</w:t>
            </w:r>
          </w:p>
        </w:tc>
      </w:tr>
      <w:tr w:rsidR="009F47B5" w:rsidRPr="008F686C" w14:paraId="308EAE80" w14:textId="77777777" w:rsidTr="007B2DB4">
        <w:trPr>
          <w:trHeight w:val="70"/>
        </w:trPr>
        <w:tc>
          <w:tcPr>
            <w:tcW w:w="2628" w:type="dxa"/>
          </w:tcPr>
          <w:p w14:paraId="3D805D55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Twelfth Week:</w:t>
            </w:r>
          </w:p>
        </w:tc>
        <w:tc>
          <w:tcPr>
            <w:tcW w:w="6750" w:type="dxa"/>
          </w:tcPr>
          <w:p w14:paraId="00895BAD" w14:textId="3E8D4B92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EU trade policy</w:t>
            </w:r>
          </w:p>
        </w:tc>
      </w:tr>
      <w:tr w:rsidR="009F47B5" w:rsidRPr="008F686C" w14:paraId="04CA4A2E" w14:textId="77777777" w:rsidTr="007B2DB4">
        <w:tc>
          <w:tcPr>
            <w:tcW w:w="2628" w:type="dxa"/>
          </w:tcPr>
          <w:p w14:paraId="6CC9363F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Thirteenth Week:</w:t>
            </w:r>
          </w:p>
        </w:tc>
        <w:tc>
          <w:tcPr>
            <w:tcW w:w="6750" w:type="dxa"/>
          </w:tcPr>
          <w:p w14:paraId="7E32FABE" w14:textId="5CC96BDC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Essential macroeconomic tools</w:t>
            </w:r>
          </w:p>
        </w:tc>
      </w:tr>
      <w:tr w:rsidR="009F47B5" w:rsidRPr="008F686C" w14:paraId="71CE0AC8" w14:textId="77777777" w:rsidTr="007B2DB4">
        <w:tc>
          <w:tcPr>
            <w:tcW w:w="2628" w:type="dxa"/>
          </w:tcPr>
          <w:p w14:paraId="5F8C83A0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Fourteenth Week:</w:t>
            </w:r>
          </w:p>
        </w:tc>
        <w:tc>
          <w:tcPr>
            <w:tcW w:w="6750" w:type="dxa"/>
          </w:tcPr>
          <w:p w14:paraId="2CA284D1" w14:textId="632BDD7C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The history of European monetary integration</w:t>
            </w:r>
          </w:p>
        </w:tc>
      </w:tr>
      <w:tr w:rsidR="009F47B5" w:rsidRPr="008F686C" w14:paraId="5B1F0165" w14:textId="77777777" w:rsidTr="007B2DB4">
        <w:tc>
          <w:tcPr>
            <w:tcW w:w="2628" w:type="dxa"/>
          </w:tcPr>
          <w:p w14:paraId="08809817" w14:textId="77777777" w:rsidR="009F47B5" w:rsidRPr="008F686C" w:rsidRDefault="009F47B5" w:rsidP="009F47B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F686C">
              <w:rPr>
                <w:rFonts w:ascii="Calibri" w:hAnsi="Calibri" w:cs="Calibri"/>
                <w:b/>
                <w:i/>
                <w:sz w:val="22"/>
                <w:szCs w:val="22"/>
              </w:rPr>
              <w:t>Fifteenth week:</w:t>
            </w:r>
          </w:p>
        </w:tc>
        <w:tc>
          <w:tcPr>
            <w:tcW w:w="6750" w:type="dxa"/>
          </w:tcPr>
          <w:p w14:paraId="48576087" w14:textId="77C83592" w:rsidR="009F47B5" w:rsidRPr="008F686C" w:rsidRDefault="00C60682" w:rsidP="009F47B5">
            <w:pPr>
              <w:pStyle w:val="HTMLPreformatted"/>
              <w:shd w:val="clear" w:color="auto" w:fill="FFFFFF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C60682">
              <w:rPr>
                <w:rFonts w:ascii="Calibri" w:hAnsi="Calibri" w:cs="Calibri"/>
                <w:color w:val="212121"/>
                <w:sz w:val="22"/>
                <w:szCs w:val="22"/>
              </w:rPr>
              <w:t>Optimum currency areas</w:t>
            </w:r>
          </w:p>
        </w:tc>
      </w:tr>
    </w:tbl>
    <w:p w14:paraId="4F855E2D" w14:textId="77777777" w:rsidR="00CF116F" w:rsidRPr="008F686C" w:rsidRDefault="00CF116F">
      <w:pPr>
        <w:rPr>
          <w:rFonts w:ascii="Calibri" w:hAnsi="Calibri" w:cs="Calibri"/>
          <w:b/>
          <w:sz w:val="20"/>
        </w:rPr>
      </w:pPr>
    </w:p>
    <w:tbl>
      <w:tblPr>
        <w:tblW w:w="93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7B2F81" w:rsidRPr="008F686C" w14:paraId="6226E5E0" w14:textId="77777777" w:rsidTr="00BD3FA3">
        <w:tc>
          <w:tcPr>
            <w:tcW w:w="9360" w:type="dxa"/>
            <w:shd w:val="clear" w:color="auto" w:fill="B8CCE4"/>
          </w:tcPr>
          <w:p w14:paraId="4A7AC00F" w14:textId="77777777" w:rsidR="007B2F81" w:rsidRPr="008F686C" w:rsidRDefault="00441AC0" w:rsidP="00DD0E98">
            <w:pPr>
              <w:jc w:val="center"/>
              <w:rPr>
                <w:rFonts w:ascii="Calibri" w:hAnsi="Calibri" w:cs="Calibri"/>
                <w:b/>
              </w:rPr>
            </w:pPr>
            <w:r w:rsidRPr="008F686C">
              <w:rPr>
                <w:rFonts w:ascii="Calibri" w:hAnsi="Calibri" w:cs="Calibri"/>
                <w:b/>
              </w:rPr>
              <w:t>Academic policies and rules of conduct</w:t>
            </w:r>
          </w:p>
        </w:tc>
      </w:tr>
      <w:tr w:rsidR="007B2F81" w:rsidRPr="008F686C" w14:paraId="032C479C" w14:textId="77777777" w:rsidTr="00441AC0">
        <w:trPr>
          <w:trHeight w:val="431"/>
        </w:trPr>
        <w:tc>
          <w:tcPr>
            <w:tcW w:w="9360" w:type="dxa"/>
          </w:tcPr>
          <w:p w14:paraId="094DA7D5" w14:textId="77777777" w:rsidR="007B2F81" w:rsidRPr="008F686C" w:rsidRDefault="00441AC0" w:rsidP="00441AC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686C">
              <w:rPr>
                <w:rFonts w:ascii="Calibri" w:hAnsi="Calibri"/>
                <w:b/>
                <w:i/>
                <w:sz w:val="24"/>
                <w:szCs w:val="24"/>
              </w:rPr>
              <w:t>The conduct policies to comfort the UP statute</w:t>
            </w:r>
          </w:p>
        </w:tc>
      </w:tr>
    </w:tbl>
    <w:p w14:paraId="54C3EC1C" w14:textId="77777777" w:rsidR="007B2F81" w:rsidRPr="008F686C" w:rsidRDefault="007B2F81">
      <w:pPr>
        <w:rPr>
          <w:rFonts w:ascii="Calibri" w:hAnsi="Calibri" w:cs="Calibri"/>
          <w:b/>
        </w:rPr>
      </w:pPr>
    </w:p>
    <w:p w14:paraId="7B45D01A" w14:textId="77777777" w:rsidR="00B815D1" w:rsidRPr="008F686C" w:rsidRDefault="00B815D1">
      <w:pPr>
        <w:rPr>
          <w:rFonts w:ascii="Calibri" w:hAnsi="Calibri" w:cs="Calibri"/>
          <w:b/>
        </w:rPr>
      </w:pPr>
    </w:p>
    <w:sectPr w:rsidR="00B815D1" w:rsidRPr="008F686C" w:rsidSect="00B56EB2">
      <w:footerReference w:type="even" r:id="rId9"/>
      <w:footerReference w:type="default" r:id="rId10"/>
      <w:pgSz w:w="12240" w:h="15840"/>
      <w:pgMar w:top="81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684F" w14:textId="77777777" w:rsidR="00B56EB2" w:rsidRDefault="00B56EB2">
      <w:r>
        <w:separator/>
      </w:r>
    </w:p>
  </w:endnote>
  <w:endnote w:type="continuationSeparator" w:id="0">
    <w:p w14:paraId="5F0A656D" w14:textId="77777777" w:rsidR="00B56EB2" w:rsidRDefault="00B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941B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48F94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D48E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D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A431B7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4CFE" w14:textId="77777777" w:rsidR="00B56EB2" w:rsidRDefault="00B56EB2">
      <w:r>
        <w:separator/>
      </w:r>
    </w:p>
  </w:footnote>
  <w:footnote w:type="continuationSeparator" w:id="0">
    <w:p w14:paraId="3485E37A" w14:textId="77777777" w:rsidR="00B56EB2" w:rsidRDefault="00B5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AE3"/>
    <w:multiLevelType w:val="hybridMultilevel"/>
    <w:tmpl w:val="71BA5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1DA0"/>
    <w:multiLevelType w:val="hybridMultilevel"/>
    <w:tmpl w:val="25D6F358"/>
    <w:lvl w:ilvl="0" w:tplc="26DC098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790797"/>
    <w:multiLevelType w:val="hybridMultilevel"/>
    <w:tmpl w:val="C4384FAC"/>
    <w:lvl w:ilvl="0" w:tplc="6AB2D1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6CB2"/>
    <w:multiLevelType w:val="hybridMultilevel"/>
    <w:tmpl w:val="8430BD1A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22A00D36"/>
    <w:multiLevelType w:val="hybridMultilevel"/>
    <w:tmpl w:val="29FC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108E"/>
    <w:multiLevelType w:val="hybridMultilevel"/>
    <w:tmpl w:val="3E26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5134"/>
    <w:multiLevelType w:val="hybridMultilevel"/>
    <w:tmpl w:val="DCCE56D0"/>
    <w:lvl w:ilvl="0" w:tplc="B448D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121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4BB0"/>
    <w:multiLevelType w:val="hybridMultilevel"/>
    <w:tmpl w:val="6FA69896"/>
    <w:lvl w:ilvl="0" w:tplc="04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8" w15:restartNumberingAfterBreak="0">
    <w:nsid w:val="38AC5473"/>
    <w:multiLevelType w:val="hybridMultilevel"/>
    <w:tmpl w:val="7468133C"/>
    <w:lvl w:ilvl="0" w:tplc="B448D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121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B0B5E"/>
    <w:multiLevelType w:val="hybridMultilevel"/>
    <w:tmpl w:val="F4B45BF8"/>
    <w:lvl w:ilvl="0" w:tplc="B73AE38C">
      <w:numFmt w:val="bullet"/>
      <w:lvlText w:val="-"/>
      <w:lvlJc w:val="left"/>
      <w:pPr>
        <w:ind w:left="52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 w15:restartNumberingAfterBreak="0">
    <w:nsid w:val="447341DA"/>
    <w:multiLevelType w:val="hybridMultilevel"/>
    <w:tmpl w:val="EF2863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6B0997"/>
    <w:multiLevelType w:val="hybridMultilevel"/>
    <w:tmpl w:val="0E1C85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3446173"/>
    <w:multiLevelType w:val="hybridMultilevel"/>
    <w:tmpl w:val="4C7E0ED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728D5ABA"/>
    <w:multiLevelType w:val="hybridMultilevel"/>
    <w:tmpl w:val="AC5A818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770555DD"/>
    <w:multiLevelType w:val="hybridMultilevel"/>
    <w:tmpl w:val="9B4C31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3433029">
    <w:abstractNumId w:val="3"/>
  </w:num>
  <w:num w:numId="2" w16cid:durableId="1385182600">
    <w:abstractNumId w:val="11"/>
  </w:num>
  <w:num w:numId="3" w16cid:durableId="957874541">
    <w:abstractNumId w:val="14"/>
  </w:num>
  <w:num w:numId="4" w16cid:durableId="41951277">
    <w:abstractNumId w:val="0"/>
  </w:num>
  <w:num w:numId="5" w16cid:durableId="1470198427">
    <w:abstractNumId w:val="10"/>
  </w:num>
  <w:num w:numId="6" w16cid:durableId="2144304865">
    <w:abstractNumId w:val="4"/>
  </w:num>
  <w:num w:numId="7" w16cid:durableId="1728987258">
    <w:abstractNumId w:val="1"/>
  </w:num>
  <w:num w:numId="8" w16cid:durableId="234708654">
    <w:abstractNumId w:val="7"/>
  </w:num>
  <w:num w:numId="9" w16cid:durableId="1929848341">
    <w:abstractNumId w:val="5"/>
  </w:num>
  <w:num w:numId="10" w16cid:durableId="743381192">
    <w:abstractNumId w:val="8"/>
  </w:num>
  <w:num w:numId="11" w16cid:durableId="674722335">
    <w:abstractNumId w:val="2"/>
  </w:num>
  <w:num w:numId="12" w16cid:durableId="1118373229">
    <w:abstractNumId w:val="12"/>
  </w:num>
  <w:num w:numId="13" w16cid:durableId="629752622">
    <w:abstractNumId w:val="13"/>
  </w:num>
  <w:num w:numId="14" w16cid:durableId="788668141">
    <w:abstractNumId w:val="9"/>
  </w:num>
  <w:num w:numId="15" w16cid:durableId="1938903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144D3"/>
    <w:rsid w:val="00016646"/>
    <w:rsid w:val="00031020"/>
    <w:rsid w:val="000402E5"/>
    <w:rsid w:val="00043592"/>
    <w:rsid w:val="00060E9F"/>
    <w:rsid w:val="00061597"/>
    <w:rsid w:val="00084318"/>
    <w:rsid w:val="00094738"/>
    <w:rsid w:val="000A058F"/>
    <w:rsid w:val="000C715D"/>
    <w:rsid w:val="000E0CA7"/>
    <w:rsid w:val="000F310F"/>
    <w:rsid w:val="00102557"/>
    <w:rsid w:val="00105C2D"/>
    <w:rsid w:val="00132604"/>
    <w:rsid w:val="0013452C"/>
    <w:rsid w:val="00135A61"/>
    <w:rsid w:val="00146A5D"/>
    <w:rsid w:val="00147605"/>
    <w:rsid w:val="001577D3"/>
    <w:rsid w:val="00172BD9"/>
    <w:rsid w:val="0017365D"/>
    <w:rsid w:val="00183923"/>
    <w:rsid w:val="0019361C"/>
    <w:rsid w:val="0019439C"/>
    <w:rsid w:val="0021580C"/>
    <w:rsid w:val="00216F16"/>
    <w:rsid w:val="002177ED"/>
    <w:rsid w:val="0023098C"/>
    <w:rsid w:val="00231745"/>
    <w:rsid w:val="002466FE"/>
    <w:rsid w:val="002610A3"/>
    <w:rsid w:val="00277008"/>
    <w:rsid w:val="002A1E1E"/>
    <w:rsid w:val="002C00FA"/>
    <w:rsid w:val="002D3069"/>
    <w:rsid w:val="002F114F"/>
    <w:rsid w:val="0030354C"/>
    <w:rsid w:val="00332975"/>
    <w:rsid w:val="00341974"/>
    <w:rsid w:val="00381B41"/>
    <w:rsid w:val="003959D2"/>
    <w:rsid w:val="003A43FD"/>
    <w:rsid w:val="003B625C"/>
    <w:rsid w:val="003C5455"/>
    <w:rsid w:val="003D1381"/>
    <w:rsid w:val="003E3193"/>
    <w:rsid w:val="003F68A5"/>
    <w:rsid w:val="004032B5"/>
    <w:rsid w:val="004101EB"/>
    <w:rsid w:val="00422D92"/>
    <w:rsid w:val="004264AF"/>
    <w:rsid w:val="00434E9F"/>
    <w:rsid w:val="0043795D"/>
    <w:rsid w:val="00441AC0"/>
    <w:rsid w:val="004561DF"/>
    <w:rsid w:val="004B32EC"/>
    <w:rsid w:val="004C0CCA"/>
    <w:rsid w:val="00523BC6"/>
    <w:rsid w:val="00527FC9"/>
    <w:rsid w:val="00550A18"/>
    <w:rsid w:val="00576716"/>
    <w:rsid w:val="005A473C"/>
    <w:rsid w:val="005B15A5"/>
    <w:rsid w:val="005B36D7"/>
    <w:rsid w:val="00603015"/>
    <w:rsid w:val="00603DD2"/>
    <w:rsid w:val="00613B67"/>
    <w:rsid w:val="006D7FB4"/>
    <w:rsid w:val="006F116D"/>
    <w:rsid w:val="007038CC"/>
    <w:rsid w:val="007127AD"/>
    <w:rsid w:val="007353FD"/>
    <w:rsid w:val="00746B49"/>
    <w:rsid w:val="00746D8D"/>
    <w:rsid w:val="00777D28"/>
    <w:rsid w:val="00781805"/>
    <w:rsid w:val="007A4DA8"/>
    <w:rsid w:val="007B1510"/>
    <w:rsid w:val="007B2DB4"/>
    <w:rsid w:val="007B2F81"/>
    <w:rsid w:val="007B6462"/>
    <w:rsid w:val="007B68A2"/>
    <w:rsid w:val="007B6ED6"/>
    <w:rsid w:val="007C3132"/>
    <w:rsid w:val="007D3100"/>
    <w:rsid w:val="007E523A"/>
    <w:rsid w:val="007E6202"/>
    <w:rsid w:val="007F135A"/>
    <w:rsid w:val="007F46C5"/>
    <w:rsid w:val="0082670D"/>
    <w:rsid w:val="008543A3"/>
    <w:rsid w:val="00882203"/>
    <w:rsid w:val="00897C30"/>
    <w:rsid w:val="008A439B"/>
    <w:rsid w:val="008A716D"/>
    <w:rsid w:val="008B74B7"/>
    <w:rsid w:val="008D0608"/>
    <w:rsid w:val="008D79D6"/>
    <w:rsid w:val="008F686C"/>
    <w:rsid w:val="00903474"/>
    <w:rsid w:val="0092642E"/>
    <w:rsid w:val="00966644"/>
    <w:rsid w:val="00974642"/>
    <w:rsid w:val="0099263F"/>
    <w:rsid w:val="009B2D45"/>
    <w:rsid w:val="009B3F0A"/>
    <w:rsid w:val="009D11CC"/>
    <w:rsid w:val="009D1ACE"/>
    <w:rsid w:val="009E2AF8"/>
    <w:rsid w:val="009F47B5"/>
    <w:rsid w:val="009F769A"/>
    <w:rsid w:val="00A00EAD"/>
    <w:rsid w:val="00A12E06"/>
    <w:rsid w:val="00A4331F"/>
    <w:rsid w:val="00A45CFC"/>
    <w:rsid w:val="00A545BA"/>
    <w:rsid w:val="00A662A0"/>
    <w:rsid w:val="00A727ED"/>
    <w:rsid w:val="00A909AC"/>
    <w:rsid w:val="00A9793F"/>
    <w:rsid w:val="00AA2C57"/>
    <w:rsid w:val="00AA3C2B"/>
    <w:rsid w:val="00AA3C7F"/>
    <w:rsid w:val="00AC08ED"/>
    <w:rsid w:val="00AC4549"/>
    <w:rsid w:val="00AE0713"/>
    <w:rsid w:val="00B31AEA"/>
    <w:rsid w:val="00B35215"/>
    <w:rsid w:val="00B56EB2"/>
    <w:rsid w:val="00B815D1"/>
    <w:rsid w:val="00BA6E9C"/>
    <w:rsid w:val="00BB1A1A"/>
    <w:rsid w:val="00BD0DA9"/>
    <w:rsid w:val="00BD3FA3"/>
    <w:rsid w:val="00BD424C"/>
    <w:rsid w:val="00C02EA6"/>
    <w:rsid w:val="00C227FD"/>
    <w:rsid w:val="00C44689"/>
    <w:rsid w:val="00C4785A"/>
    <w:rsid w:val="00C540C0"/>
    <w:rsid w:val="00C60682"/>
    <w:rsid w:val="00C6155B"/>
    <w:rsid w:val="00C62FD2"/>
    <w:rsid w:val="00C65A63"/>
    <w:rsid w:val="00C767C0"/>
    <w:rsid w:val="00C76E78"/>
    <w:rsid w:val="00CB7A25"/>
    <w:rsid w:val="00CC0521"/>
    <w:rsid w:val="00CD3472"/>
    <w:rsid w:val="00CF116F"/>
    <w:rsid w:val="00CF6248"/>
    <w:rsid w:val="00D0256F"/>
    <w:rsid w:val="00D066FF"/>
    <w:rsid w:val="00D10BC6"/>
    <w:rsid w:val="00D15D53"/>
    <w:rsid w:val="00D67209"/>
    <w:rsid w:val="00D75531"/>
    <w:rsid w:val="00DB2823"/>
    <w:rsid w:val="00DD0E98"/>
    <w:rsid w:val="00DD3611"/>
    <w:rsid w:val="00DF6543"/>
    <w:rsid w:val="00E0268F"/>
    <w:rsid w:val="00E20FCD"/>
    <w:rsid w:val="00E43CCB"/>
    <w:rsid w:val="00E60E6B"/>
    <w:rsid w:val="00E64FDE"/>
    <w:rsid w:val="00E727DE"/>
    <w:rsid w:val="00EB0D07"/>
    <w:rsid w:val="00EC21E5"/>
    <w:rsid w:val="00EC51DB"/>
    <w:rsid w:val="00EF57F9"/>
    <w:rsid w:val="00F04222"/>
    <w:rsid w:val="00F04FCC"/>
    <w:rsid w:val="00F0655D"/>
    <w:rsid w:val="00F21146"/>
    <w:rsid w:val="00F34158"/>
    <w:rsid w:val="00F47480"/>
    <w:rsid w:val="00F5660C"/>
    <w:rsid w:val="00F63CCC"/>
    <w:rsid w:val="00FA3FEB"/>
    <w:rsid w:val="00FB050B"/>
    <w:rsid w:val="00FB0A05"/>
    <w:rsid w:val="00FC4ACC"/>
    <w:rsid w:val="00FC7D06"/>
    <w:rsid w:val="00FD6ED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29026"/>
  <w15:chartTrackingRefBased/>
  <w15:docId w15:val="{F131BCD8-B28A-47EE-8B06-3039330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63CCC"/>
    <w:pPr>
      <w:widowControl w:val="0"/>
      <w:autoSpaceDE w:val="0"/>
      <w:autoSpaceDN w:val="0"/>
      <w:adjustRightInd w:val="0"/>
      <w:ind w:firstLine="720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customStyle="1" w:styleId="level1">
    <w:name w:val="_level1"/>
    <w:basedOn w:val="Normal"/>
    <w:rsid w:val="00F63CCC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1080" w:hanging="360"/>
    </w:pPr>
  </w:style>
  <w:style w:type="character" w:customStyle="1" w:styleId="Heading5Char">
    <w:name w:val="Heading 5 Char"/>
    <w:link w:val="Heading5"/>
    <w:rsid w:val="00F63CCC"/>
    <w:rPr>
      <w:sz w:val="28"/>
      <w:szCs w:val="28"/>
    </w:rPr>
  </w:style>
  <w:style w:type="paragraph" w:styleId="BodyText">
    <w:name w:val="Body Text"/>
    <w:basedOn w:val="Normal"/>
    <w:link w:val="BodyTextChar"/>
    <w:rsid w:val="00D066FF"/>
    <w:rPr>
      <w:sz w:val="22"/>
      <w:szCs w:val="20"/>
    </w:rPr>
  </w:style>
  <w:style w:type="character" w:customStyle="1" w:styleId="BodyTextChar">
    <w:name w:val="Body Text Char"/>
    <w:link w:val="BodyText"/>
    <w:rsid w:val="00D066FF"/>
    <w:rPr>
      <w:sz w:val="22"/>
    </w:rPr>
  </w:style>
  <w:style w:type="character" w:styleId="Hyperlink">
    <w:name w:val="Hyperlink"/>
    <w:rsid w:val="00D15D5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43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43CCB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FA3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tik.hoxha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zmend.qorraj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3718</CharactersWithSpaces>
  <SharedDoc>false</SharedDoc>
  <HLinks>
    <vt:vector size="6" baseType="variant">
      <vt:variant>
        <vt:i4>3211279</vt:i4>
      </vt:variant>
      <vt:variant>
        <vt:i4>0</vt:i4>
      </vt:variant>
      <vt:variant>
        <vt:i4>0</vt:i4>
      </vt:variant>
      <vt:variant>
        <vt:i4>5</vt:i4>
      </vt:variant>
      <vt:variant>
        <vt:lpwstr>mailto:adriatik.hoxha@uni-pr.edu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Adriatik Hoxha</cp:lastModifiedBy>
  <cp:revision>6</cp:revision>
  <cp:lastPrinted>2016-04-03T10:47:00Z</cp:lastPrinted>
  <dcterms:created xsi:type="dcterms:W3CDTF">2022-09-19T04:47:00Z</dcterms:created>
  <dcterms:modified xsi:type="dcterms:W3CDTF">2024-02-27T16:13:00Z</dcterms:modified>
</cp:coreProperties>
</file>